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charts/chart18.xml" ContentType="application/vnd.openxmlformats-officedocument.drawingml.chart+xml"/>
  <Override PartName="/word/charts/chart19.xml" ContentType="application/vnd.openxmlformats-officedocument.drawingml.chart+xml"/>
  <Override PartName="/word/charts/chart20.xml" ContentType="application/vnd.openxmlformats-officedocument.drawingml.chart+xml"/>
  <Override PartName="/word/charts/chart21.xml" ContentType="application/vnd.openxmlformats-officedocument.drawingml.chart+xml"/>
  <Override PartName="/word/charts/chart22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786" w:rsidRPr="00E56BC1" w:rsidRDefault="00081786" w:rsidP="00464DD9">
      <w:pPr>
        <w:jc w:val="center"/>
        <w:rPr>
          <w:rFonts w:cs="Times New Roman"/>
          <w:b/>
          <w:sz w:val="32"/>
          <w:szCs w:val="32"/>
        </w:rPr>
      </w:pPr>
      <w:r w:rsidRPr="00E56BC1">
        <w:rPr>
          <w:rFonts w:cs="Times New Roman"/>
          <w:b/>
          <w:sz w:val="32"/>
          <w:szCs w:val="32"/>
        </w:rPr>
        <w:t xml:space="preserve">Výber </w:t>
      </w:r>
      <w:r w:rsidR="00E56BC1" w:rsidRPr="00E56BC1">
        <w:rPr>
          <w:rFonts w:cs="Times New Roman"/>
          <w:b/>
          <w:sz w:val="32"/>
          <w:szCs w:val="32"/>
        </w:rPr>
        <w:t>zaujímavých</w:t>
      </w:r>
      <w:r w:rsidRPr="00E56BC1">
        <w:rPr>
          <w:rFonts w:cs="Times New Roman"/>
          <w:b/>
          <w:sz w:val="32"/>
          <w:szCs w:val="32"/>
        </w:rPr>
        <w:t xml:space="preserve"> štatistík o zamestnanosti</w:t>
      </w:r>
    </w:p>
    <w:p w:rsidR="0006737D" w:rsidRDefault="0006737D" w:rsidP="00464DD9">
      <w:pPr>
        <w:jc w:val="center"/>
        <w:rPr>
          <w:rFonts w:cs="Times New Roman"/>
        </w:rPr>
      </w:pPr>
    </w:p>
    <w:p w:rsidR="00081786" w:rsidRPr="00E56BC1" w:rsidRDefault="0006737D" w:rsidP="00464DD9">
      <w:pPr>
        <w:jc w:val="center"/>
        <w:rPr>
          <w:rFonts w:cs="Times New Roman"/>
        </w:rPr>
      </w:pPr>
      <w:r>
        <w:rPr>
          <w:rFonts w:cs="Times New Roman"/>
        </w:rPr>
        <w:t>PRACOVNÁ VERZIA</w:t>
      </w:r>
    </w:p>
    <w:p w:rsidR="0006737D" w:rsidRDefault="0006737D" w:rsidP="00464DD9">
      <w:pPr>
        <w:jc w:val="center"/>
        <w:rPr>
          <w:rFonts w:cs="Times New Roman"/>
        </w:rPr>
      </w:pPr>
    </w:p>
    <w:p w:rsidR="00995889" w:rsidRPr="00E56BC1" w:rsidRDefault="00081786" w:rsidP="00464DD9">
      <w:pPr>
        <w:jc w:val="center"/>
        <w:rPr>
          <w:rFonts w:cs="Times New Roman"/>
        </w:rPr>
      </w:pPr>
      <w:r w:rsidRPr="00E56BC1">
        <w:rPr>
          <w:rFonts w:cs="Times New Roman"/>
        </w:rPr>
        <w:t>Podklad pre seminár „</w:t>
      </w:r>
      <w:r w:rsidR="00464DD9" w:rsidRPr="00E56BC1">
        <w:rPr>
          <w:rFonts w:cs="Times New Roman"/>
        </w:rPr>
        <w:t>Ako udržateľne zvyšovať zamestnanosť</w:t>
      </w:r>
      <w:r w:rsidRPr="00E56BC1">
        <w:rPr>
          <w:rFonts w:cs="Times New Roman"/>
        </w:rPr>
        <w:t>“, ktorý na 22.9.2015 zorganizoval inštitút INEKO spolu so Zastúpením Európskej komisie v Slovenskej republike</w:t>
      </w:r>
    </w:p>
    <w:p w:rsidR="00081786" w:rsidRPr="00E56BC1" w:rsidRDefault="00081786" w:rsidP="00464DD9">
      <w:pPr>
        <w:jc w:val="center"/>
        <w:rPr>
          <w:rFonts w:cs="Times New Roman"/>
        </w:rPr>
      </w:pPr>
    </w:p>
    <w:p w:rsidR="00081786" w:rsidRPr="00E56BC1" w:rsidRDefault="00084EC9" w:rsidP="00FF7FAD">
      <w:pPr>
        <w:jc w:val="center"/>
        <w:rPr>
          <w:rFonts w:cs="Times New Roman"/>
        </w:rPr>
      </w:pPr>
      <w:r>
        <w:rPr>
          <w:rFonts w:cs="Times New Roman"/>
        </w:rPr>
        <w:t xml:space="preserve">Peter </w:t>
      </w:r>
      <w:proofErr w:type="spellStart"/>
      <w:r>
        <w:rPr>
          <w:rFonts w:cs="Times New Roman"/>
        </w:rPr>
        <w:t>Goliaš</w:t>
      </w:r>
      <w:proofErr w:type="spellEnd"/>
      <w:r>
        <w:rPr>
          <w:rFonts w:cs="Times New Roman"/>
        </w:rPr>
        <w:t xml:space="preserve">, </w:t>
      </w:r>
      <w:r w:rsidR="00070D41" w:rsidRPr="00E56BC1">
        <w:rPr>
          <w:rFonts w:cs="Times New Roman"/>
        </w:rPr>
        <w:t xml:space="preserve">Jakub </w:t>
      </w:r>
      <w:proofErr w:type="spellStart"/>
      <w:r w:rsidR="00070D41" w:rsidRPr="00E56BC1">
        <w:rPr>
          <w:rFonts w:cs="Times New Roman"/>
        </w:rPr>
        <w:t>Dovčík</w:t>
      </w:r>
      <w:proofErr w:type="spellEnd"/>
      <w:r w:rsidR="00070D41" w:rsidRPr="00E56BC1">
        <w:rPr>
          <w:rFonts w:cs="Times New Roman"/>
        </w:rPr>
        <w:t xml:space="preserve">, </w:t>
      </w:r>
      <w:r w:rsidR="00FF7FAD">
        <w:rPr>
          <w:rFonts w:cs="Times New Roman"/>
        </w:rPr>
        <w:t>Zuzana Machová</w:t>
      </w:r>
    </w:p>
    <w:p w:rsidR="00070D41" w:rsidRPr="00E56BC1" w:rsidRDefault="00070D41" w:rsidP="00464DD9">
      <w:pPr>
        <w:jc w:val="center"/>
        <w:rPr>
          <w:rFonts w:cs="Times New Roman"/>
        </w:rPr>
      </w:pPr>
      <w:r w:rsidRPr="00E56BC1">
        <w:rPr>
          <w:rFonts w:cs="Times New Roman"/>
        </w:rPr>
        <w:t>INEKO, september 2015</w:t>
      </w:r>
    </w:p>
    <w:p w:rsidR="00081786" w:rsidRPr="00E56BC1" w:rsidRDefault="00081786" w:rsidP="00464DD9">
      <w:pPr>
        <w:jc w:val="both"/>
        <w:rPr>
          <w:rFonts w:cs="Times New Roman"/>
        </w:rPr>
      </w:pPr>
    </w:p>
    <w:p w:rsidR="00081786" w:rsidRPr="00E56BC1" w:rsidRDefault="00081786" w:rsidP="00081786">
      <w:pPr>
        <w:jc w:val="center"/>
        <w:rPr>
          <w:rFonts w:cs="Times New Roman"/>
        </w:rPr>
      </w:pPr>
      <w:r w:rsidRPr="00E56BC1">
        <w:rPr>
          <w:rFonts w:cs="Times New Roman"/>
        </w:rPr>
        <w:t xml:space="preserve">Viac informácií o seminári: </w:t>
      </w:r>
      <w:hyperlink r:id="rId9" w:history="1">
        <w:r w:rsidRPr="00E56BC1">
          <w:rPr>
            <w:rStyle w:val="Hypertextovprepojenie"/>
            <w:rFonts w:cs="Times New Roman"/>
          </w:rPr>
          <w:t>http://www.ineko.sk/projekty/ako-udrzatelne-zvysovat-zamestnanost</w:t>
        </w:r>
      </w:hyperlink>
    </w:p>
    <w:p w:rsidR="00081786" w:rsidRPr="00E56BC1" w:rsidRDefault="00081786" w:rsidP="00464DD9">
      <w:pPr>
        <w:jc w:val="both"/>
        <w:rPr>
          <w:rFonts w:cs="Times New Roman"/>
        </w:rPr>
      </w:pPr>
    </w:p>
    <w:p w:rsidR="006E6F93" w:rsidRDefault="006E6F93">
      <w:pPr>
        <w:rPr>
          <w:rFonts w:cs="Times New Roman"/>
        </w:rPr>
      </w:pPr>
      <w:r>
        <w:rPr>
          <w:rFonts w:cs="Times New Roman"/>
        </w:rPr>
        <w:br w:type="page"/>
      </w:r>
    </w:p>
    <w:p w:rsidR="00B518B9" w:rsidRPr="00E56BC1" w:rsidRDefault="006F2BCF" w:rsidP="00556411">
      <w:pPr>
        <w:spacing w:after="0"/>
        <w:jc w:val="both"/>
        <w:rPr>
          <w:rFonts w:cs="Times New Roman"/>
        </w:rPr>
      </w:pPr>
      <w:r w:rsidRPr="00E56BC1">
        <w:rPr>
          <w:rFonts w:cs="Times New Roman"/>
        </w:rPr>
        <w:lastRenderedPageBreak/>
        <w:t>Graf 1</w:t>
      </w:r>
      <w:r w:rsidR="00557346" w:rsidRPr="00E56BC1">
        <w:rPr>
          <w:rFonts w:cs="Times New Roman"/>
        </w:rPr>
        <w:t>:</w:t>
      </w:r>
      <w:r w:rsidR="00E5289D" w:rsidRPr="00E56BC1">
        <w:rPr>
          <w:rFonts w:cs="Times New Roman"/>
        </w:rPr>
        <w:t xml:space="preserve"> </w:t>
      </w:r>
      <w:r w:rsidR="00B518B9" w:rsidRPr="00E56BC1">
        <w:rPr>
          <w:rFonts w:cs="Times New Roman"/>
        </w:rPr>
        <w:t xml:space="preserve">Vývoj miery zamestnanosti </w:t>
      </w:r>
      <w:r w:rsidR="006E3D68" w:rsidRPr="00E56BC1">
        <w:rPr>
          <w:rFonts w:cs="Times New Roman"/>
        </w:rPr>
        <w:t xml:space="preserve">15-64-ročných </w:t>
      </w:r>
      <w:r w:rsidR="00B518B9" w:rsidRPr="00E56BC1">
        <w:rPr>
          <w:rFonts w:cs="Times New Roman"/>
        </w:rPr>
        <w:t>(v %)</w:t>
      </w:r>
    </w:p>
    <w:p w:rsidR="006F1317" w:rsidRDefault="00B518B9" w:rsidP="00556411">
      <w:pPr>
        <w:spacing w:after="0"/>
        <w:jc w:val="both"/>
        <w:rPr>
          <w:rFonts w:cs="Times New Roman"/>
        </w:rPr>
      </w:pPr>
      <w:r w:rsidRPr="00E56BC1">
        <w:rPr>
          <w:noProof/>
          <w:lang w:val="en-US"/>
        </w:rPr>
        <w:drawing>
          <wp:inline distT="0" distB="0" distL="0" distR="0" wp14:anchorId="7760F781" wp14:editId="5E040C51">
            <wp:extent cx="3924300" cy="1976438"/>
            <wp:effectExtent l="0" t="0" r="19050" b="24130"/>
            <wp:docPr id="26" name="Graf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B518B9" w:rsidRPr="00E56BC1" w:rsidRDefault="00B518B9" w:rsidP="00556411">
      <w:pPr>
        <w:spacing w:after="0"/>
        <w:jc w:val="both"/>
        <w:rPr>
          <w:rFonts w:cs="Times New Roman"/>
        </w:rPr>
      </w:pPr>
      <w:r w:rsidRPr="00E56BC1">
        <w:rPr>
          <w:rFonts w:cs="Times New Roman"/>
        </w:rPr>
        <w:t>Zdroj: ŠÚ SR</w:t>
      </w:r>
    </w:p>
    <w:p w:rsidR="00B17C16" w:rsidRPr="00E56BC1" w:rsidRDefault="00B17C16" w:rsidP="00556411">
      <w:pPr>
        <w:spacing w:after="0"/>
        <w:jc w:val="both"/>
        <w:rPr>
          <w:rFonts w:cs="Times New Roman"/>
        </w:rPr>
      </w:pPr>
      <w:r w:rsidRPr="00E56BC1">
        <w:rPr>
          <w:rFonts w:cs="Times New Roman"/>
        </w:rPr>
        <w:t xml:space="preserve">Poznámka: Zhruba od polovice 2014 zamestnanosť rýchlo rastie, stále však nedosahuje predkrízové maximum z roku 2008. </w:t>
      </w:r>
    </w:p>
    <w:p w:rsidR="00B518B9" w:rsidRPr="00E56BC1" w:rsidRDefault="00B518B9" w:rsidP="00556411">
      <w:pPr>
        <w:spacing w:after="0"/>
        <w:jc w:val="both"/>
        <w:rPr>
          <w:rFonts w:cs="Times New Roman"/>
        </w:rPr>
      </w:pPr>
    </w:p>
    <w:p w:rsidR="00455AFE" w:rsidRPr="00F32055" w:rsidRDefault="00B518B9" w:rsidP="00F32055">
      <w:pPr>
        <w:spacing w:after="0"/>
        <w:rPr>
          <w:rFonts w:cs="Times New Roman"/>
        </w:rPr>
      </w:pPr>
      <w:r w:rsidRPr="00E56BC1">
        <w:rPr>
          <w:rFonts w:cs="Times New Roman"/>
        </w:rPr>
        <w:t xml:space="preserve">Graf 2: </w:t>
      </w:r>
      <w:r w:rsidR="00E5289D" w:rsidRPr="00E56BC1">
        <w:rPr>
          <w:rFonts w:cs="Times New Roman"/>
        </w:rPr>
        <w:t>Porovnanie zmeny HDP, konečnej spotreby a zamestnanosti (</w:t>
      </w:r>
      <w:r w:rsidR="00941962" w:rsidRPr="00E56BC1">
        <w:rPr>
          <w:rFonts w:cs="Times New Roman"/>
        </w:rPr>
        <w:t xml:space="preserve">medziročná zmena, </w:t>
      </w:r>
      <w:r w:rsidR="00E5289D" w:rsidRPr="00E56BC1">
        <w:rPr>
          <w:rFonts w:cs="Times New Roman"/>
        </w:rPr>
        <w:t>v %)</w:t>
      </w:r>
    </w:p>
    <w:p w:rsidR="00464DD9" w:rsidRPr="00E56BC1" w:rsidRDefault="00941962" w:rsidP="00033A0C">
      <w:pPr>
        <w:spacing w:after="0"/>
        <w:jc w:val="both"/>
        <w:rPr>
          <w:rFonts w:cs="Times New Roman"/>
        </w:rPr>
      </w:pPr>
      <w:r w:rsidRPr="00E56BC1">
        <w:rPr>
          <w:noProof/>
          <w:lang w:val="en-US"/>
        </w:rPr>
        <w:drawing>
          <wp:inline distT="0" distB="0" distL="0" distR="0" wp14:anchorId="5C597463" wp14:editId="6ED2E88E">
            <wp:extent cx="4448175" cy="2490788"/>
            <wp:effectExtent l="0" t="0" r="9525" b="24130"/>
            <wp:docPr id="25" name="Graf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E308D8" w:rsidRPr="00E56BC1" w:rsidRDefault="00E308D8" w:rsidP="00033A0C">
      <w:pPr>
        <w:spacing w:after="0"/>
        <w:jc w:val="both"/>
        <w:rPr>
          <w:rFonts w:cs="Times New Roman"/>
        </w:rPr>
      </w:pPr>
      <w:r w:rsidRPr="00E56BC1">
        <w:rPr>
          <w:rFonts w:cs="Times New Roman"/>
        </w:rPr>
        <w:t>Zdroj: ŠÚ SR</w:t>
      </w:r>
    </w:p>
    <w:p w:rsidR="00B12934" w:rsidRPr="00E56BC1" w:rsidRDefault="00137C07" w:rsidP="00464DD9">
      <w:pPr>
        <w:jc w:val="both"/>
        <w:rPr>
          <w:rFonts w:cs="Times New Roman"/>
        </w:rPr>
      </w:pPr>
      <w:r w:rsidRPr="00E56BC1">
        <w:rPr>
          <w:rFonts w:cs="Times New Roman"/>
        </w:rPr>
        <w:t>Poznámka: V</w:t>
      </w:r>
      <w:r w:rsidR="00B12934" w:rsidRPr="00E56BC1">
        <w:rPr>
          <w:rFonts w:cs="Times New Roman"/>
        </w:rPr>
        <w:t xml:space="preserve"> minulosti </w:t>
      </w:r>
      <w:r w:rsidR="00E61418" w:rsidRPr="00E56BC1">
        <w:rPr>
          <w:rFonts w:cs="Times New Roman"/>
        </w:rPr>
        <w:t xml:space="preserve">rástla zamestnanosť len pri podstatne silnejšom raste </w:t>
      </w:r>
      <w:r w:rsidR="00E308D8" w:rsidRPr="00E56BC1">
        <w:rPr>
          <w:rFonts w:cs="Times New Roman"/>
        </w:rPr>
        <w:t>HDP</w:t>
      </w:r>
      <w:r w:rsidR="00C34095" w:rsidRPr="00E56BC1">
        <w:rPr>
          <w:rFonts w:cs="Times New Roman"/>
        </w:rPr>
        <w:t>, resp.</w:t>
      </w:r>
      <w:r w:rsidR="00E308D8" w:rsidRPr="00E56BC1">
        <w:rPr>
          <w:rFonts w:cs="Times New Roman"/>
        </w:rPr>
        <w:t xml:space="preserve"> konečnej spotreby. Z</w:t>
      </w:r>
      <w:r w:rsidR="007221B4" w:rsidRPr="00E56BC1">
        <w:rPr>
          <w:rFonts w:cs="Times New Roman"/>
        </w:rPr>
        <w:t xml:space="preserve">hruba od polovice 2014 </w:t>
      </w:r>
      <w:r w:rsidR="00E61418" w:rsidRPr="00E56BC1">
        <w:rPr>
          <w:rFonts w:cs="Times New Roman"/>
        </w:rPr>
        <w:t>sa tak deje už aj pri slabšom raste</w:t>
      </w:r>
      <w:r w:rsidR="00E308D8" w:rsidRPr="00E56BC1">
        <w:rPr>
          <w:rFonts w:cs="Times New Roman"/>
        </w:rPr>
        <w:t>.</w:t>
      </w:r>
    </w:p>
    <w:p w:rsidR="006E3D68" w:rsidRPr="00E56BC1" w:rsidRDefault="006E3D68" w:rsidP="00464DD9">
      <w:pPr>
        <w:jc w:val="both"/>
        <w:rPr>
          <w:rFonts w:cs="Times New Roman"/>
        </w:rPr>
      </w:pPr>
    </w:p>
    <w:p w:rsidR="00002510" w:rsidRPr="00E56BC1" w:rsidRDefault="00002510">
      <w:pPr>
        <w:rPr>
          <w:rFonts w:cs="Times New Roman"/>
        </w:rPr>
      </w:pPr>
      <w:r w:rsidRPr="00E56BC1">
        <w:rPr>
          <w:rFonts w:cs="Times New Roman"/>
        </w:rPr>
        <w:br w:type="page"/>
      </w:r>
    </w:p>
    <w:p w:rsidR="0053032B" w:rsidRDefault="0053032B" w:rsidP="0053032B">
      <w:pPr>
        <w:spacing w:after="0"/>
        <w:rPr>
          <w:rFonts w:cs="Times New Roman"/>
        </w:rPr>
      </w:pPr>
      <w:r>
        <w:rPr>
          <w:rFonts w:cs="Times New Roman"/>
        </w:rPr>
        <w:lastRenderedPageBreak/>
        <w:t>Graf</w:t>
      </w:r>
      <w:r w:rsidR="00F53EBF">
        <w:rPr>
          <w:rFonts w:cs="Times New Roman"/>
        </w:rPr>
        <w:t xml:space="preserve"> 3</w:t>
      </w:r>
      <w:r>
        <w:rPr>
          <w:rFonts w:cs="Times New Roman"/>
        </w:rPr>
        <w:t>: Miera zamestnanosti (20-64 ročných) vo V4 a EÚ (v %)</w:t>
      </w:r>
    </w:p>
    <w:p w:rsidR="0053032B" w:rsidRDefault="0053032B" w:rsidP="0053032B">
      <w:pPr>
        <w:spacing w:after="0"/>
        <w:rPr>
          <w:rFonts w:cs="Times New Roman"/>
        </w:rPr>
      </w:pPr>
      <w:r>
        <w:rPr>
          <w:noProof/>
          <w:lang w:val="en-US"/>
        </w:rPr>
        <w:drawing>
          <wp:inline distT="0" distB="0" distL="0" distR="0" wp14:anchorId="6136F604" wp14:editId="1488D38B">
            <wp:extent cx="5019675" cy="2586038"/>
            <wp:effectExtent l="0" t="0" r="9525" b="24130"/>
            <wp:docPr id="39" name="Graf 3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53032B" w:rsidRDefault="0053032B" w:rsidP="00E93D19">
      <w:pPr>
        <w:spacing w:after="0"/>
        <w:rPr>
          <w:rFonts w:cs="Times New Roman"/>
        </w:rPr>
      </w:pPr>
      <w:r>
        <w:rPr>
          <w:rFonts w:cs="Times New Roman"/>
        </w:rPr>
        <w:t xml:space="preserve">Zdroj: </w:t>
      </w:r>
      <w:proofErr w:type="spellStart"/>
      <w:r>
        <w:rPr>
          <w:rFonts w:cs="Times New Roman"/>
        </w:rPr>
        <w:t>Eurostat</w:t>
      </w:r>
      <w:proofErr w:type="spellEnd"/>
    </w:p>
    <w:p w:rsidR="002B19F4" w:rsidRPr="00E56BC1" w:rsidRDefault="0053032B" w:rsidP="00F53EBF">
      <w:pPr>
        <w:spacing w:after="0"/>
        <w:jc w:val="both"/>
        <w:rPr>
          <w:rFonts w:cs="Times New Roman"/>
        </w:rPr>
      </w:pPr>
      <w:r>
        <w:rPr>
          <w:rFonts w:cs="Times New Roman"/>
        </w:rPr>
        <w:t>Poznámka: Kríza v rokoch 2009 a 2010 mala podstatne horší dopad na zamestnanosť na Slovensku než v okolitých štátoch či v priemere v EÚ. K citeľnému zotaveniu dochádza na Slovensku až od roku 2014.</w:t>
      </w:r>
      <w:r w:rsidR="00F53EBF">
        <w:rPr>
          <w:rFonts w:cs="Times New Roman"/>
        </w:rPr>
        <w:t xml:space="preserve"> </w:t>
      </w:r>
      <w:r w:rsidR="00F53EBF" w:rsidRPr="00E56BC1">
        <w:rPr>
          <w:rFonts w:cs="Times New Roman"/>
        </w:rPr>
        <w:t xml:space="preserve">Od roku 2008 </w:t>
      </w:r>
      <w:r w:rsidR="00F53EBF">
        <w:rPr>
          <w:rFonts w:cs="Times New Roman"/>
        </w:rPr>
        <w:t>dobehlo</w:t>
      </w:r>
      <w:r w:rsidR="00F53EBF" w:rsidRPr="00E56BC1">
        <w:rPr>
          <w:rFonts w:cs="Times New Roman"/>
        </w:rPr>
        <w:t xml:space="preserve"> Poľsko aj Maďarsko úroveň zamestnanosti na Slovensku</w:t>
      </w:r>
      <w:r w:rsidR="00F53EBF">
        <w:rPr>
          <w:rFonts w:cs="Times New Roman"/>
        </w:rPr>
        <w:t xml:space="preserve">. </w:t>
      </w:r>
      <w:r w:rsidR="00F53EBF" w:rsidRPr="00E56BC1">
        <w:rPr>
          <w:rFonts w:cs="Times New Roman"/>
        </w:rPr>
        <w:t>Treba poznamenať, že Maďarsko dosiahlo prudký rast zamestnanosti do veľkej miery kvôli zmene klasifikácie aktivačných/verejných prác, ktoré sa dnes klasifikujú ako zamestnania.</w:t>
      </w:r>
    </w:p>
    <w:p w:rsidR="00BF7DE7" w:rsidRPr="00E56BC1" w:rsidRDefault="00BF7DE7">
      <w:pPr>
        <w:rPr>
          <w:rFonts w:cs="Times New Roman"/>
        </w:rPr>
      </w:pPr>
      <w:r w:rsidRPr="00E56BC1">
        <w:rPr>
          <w:rFonts w:cs="Times New Roman"/>
        </w:rPr>
        <w:br w:type="page"/>
      </w:r>
    </w:p>
    <w:p w:rsidR="00CE0E46" w:rsidRDefault="00611037" w:rsidP="00CE0E46">
      <w:pPr>
        <w:tabs>
          <w:tab w:val="left" w:pos="1530"/>
        </w:tabs>
        <w:spacing w:after="0"/>
        <w:rPr>
          <w:rFonts w:cs="Times New Roman"/>
        </w:rPr>
      </w:pPr>
      <w:r>
        <w:rPr>
          <w:rFonts w:cs="Times New Roman"/>
        </w:rPr>
        <w:lastRenderedPageBreak/>
        <w:t>Graf</w:t>
      </w:r>
      <w:r w:rsidR="004D7B40">
        <w:rPr>
          <w:rFonts w:cs="Times New Roman"/>
        </w:rPr>
        <w:t xml:space="preserve"> 4</w:t>
      </w:r>
      <w:r w:rsidR="00CE0E46">
        <w:rPr>
          <w:rFonts w:cs="Times New Roman"/>
        </w:rPr>
        <w:t>: Zamestnanci podľa typu pracovného času (</w:t>
      </w:r>
      <w:r>
        <w:rPr>
          <w:rFonts w:cs="Times New Roman"/>
        </w:rPr>
        <w:t xml:space="preserve">muži a ženy spolu, </w:t>
      </w:r>
      <w:r w:rsidR="00CE0E46">
        <w:rPr>
          <w:rFonts w:cs="Times New Roman"/>
        </w:rPr>
        <w:t>v tis. osobách)</w:t>
      </w:r>
    </w:p>
    <w:p w:rsidR="007764D7" w:rsidRDefault="000D3E91" w:rsidP="00CE0E46">
      <w:pPr>
        <w:tabs>
          <w:tab w:val="left" w:pos="1530"/>
        </w:tabs>
        <w:spacing w:after="0"/>
        <w:rPr>
          <w:rFonts w:cs="Times New Roman"/>
        </w:rPr>
      </w:pPr>
      <w:r>
        <w:rPr>
          <w:noProof/>
          <w:lang w:val="en-US"/>
        </w:rPr>
        <w:drawing>
          <wp:inline distT="0" distB="0" distL="0" distR="0" wp14:anchorId="0BABBA9C" wp14:editId="307896E1">
            <wp:extent cx="4086225" cy="1938338"/>
            <wp:effectExtent l="0" t="0" r="9525" b="24130"/>
            <wp:docPr id="27" name="Graf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7764D7" w:rsidRDefault="007764D7" w:rsidP="007764D7">
      <w:pPr>
        <w:tabs>
          <w:tab w:val="left" w:pos="1035"/>
        </w:tabs>
        <w:spacing w:after="0"/>
        <w:rPr>
          <w:rFonts w:cs="Times New Roman"/>
        </w:rPr>
      </w:pPr>
      <w:r>
        <w:rPr>
          <w:rFonts w:cs="Times New Roman"/>
        </w:rPr>
        <w:t>Zdroj: ŠÚ SR</w:t>
      </w:r>
    </w:p>
    <w:p w:rsidR="007764D7" w:rsidRDefault="007764D7" w:rsidP="00CE0E46">
      <w:pPr>
        <w:tabs>
          <w:tab w:val="left" w:pos="1530"/>
        </w:tabs>
        <w:spacing w:after="0"/>
        <w:rPr>
          <w:rFonts w:cs="Times New Roman"/>
        </w:rPr>
      </w:pPr>
    </w:p>
    <w:p w:rsidR="00611037" w:rsidRDefault="00611037" w:rsidP="00CE0E46">
      <w:pPr>
        <w:tabs>
          <w:tab w:val="left" w:pos="1530"/>
        </w:tabs>
        <w:spacing w:after="0"/>
        <w:rPr>
          <w:rFonts w:cs="Times New Roman"/>
        </w:rPr>
      </w:pPr>
      <w:r>
        <w:rPr>
          <w:rFonts w:cs="Times New Roman"/>
        </w:rPr>
        <w:t>Graf</w:t>
      </w:r>
      <w:r w:rsidR="004D7B40">
        <w:rPr>
          <w:rFonts w:cs="Times New Roman"/>
        </w:rPr>
        <w:t xml:space="preserve"> 5</w:t>
      </w:r>
      <w:r>
        <w:rPr>
          <w:rFonts w:cs="Times New Roman"/>
        </w:rPr>
        <w:t>: Zamestnanci podľa typu pracovného času (muži, v tis. osobách)</w:t>
      </w:r>
    </w:p>
    <w:p w:rsidR="00611037" w:rsidRDefault="004B1341" w:rsidP="00CE0E46">
      <w:pPr>
        <w:tabs>
          <w:tab w:val="left" w:pos="1530"/>
        </w:tabs>
        <w:spacing w:after="0"/>
        <w:rPr>
          <w:rFonts w:cs="Times New Roman"/>
        </w:rPr>
      </w:pPr>
      <w:r>
        <w:rPr>
          <w:noProof/>
          <w:lang w:val="en-US"/>
        </w:rPr>
        <w:drawing>
          <wp:inline distT="0" distB="0" distL="0" distR="0" wp14:anchorId="1835FC6C" wp14:editId="2D907850">
            <wp:extent cx="4086225" cy="2090738"/>
            <wp:effectExtent l="0" t="0" r="9525" b="24130"/>
            <wp:docPr id="28" name="Graf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E75062" w:rsidRDefault="00E75062" w:rsidP="00E75062">
      <w:pPr>
        <w:tabs>
          <w:tab w:val="left" w:pos="1035"/>
        </w:tabs>
        <w:spacing w:after="0"/>
        <w:rPr>
          <w:rFonts w:cs="Times New Roman"/>
        </w:rPr>
      </w:pPr>
      <w:r>
        <w:rPr>
          <w:rFonts w:cs="Times New Roman"/>
        </w:rPr>
        <w:t>Zdroj: ŠÚ SR</w:t>
      </w:r>
    </w:p>
    <w:p w:rsidR="00611037" w:rsidRDefault="00611037" w:rsidP="00CE0E46">
      <w:pPr>
        <w:tabs>
          <w:tab w:val="left" w:pos="1530"/>
        </w:tabs>
        <w:spacing w:after="0"/>
        <w:rPr>
          <w:rFonts w:cs="Times New Roman"/>
        </w:rPr>
      </w:pPr>
    </w:p>
    <w:p w:rsidR="00611037" w:rsidRDefault="00611037" w:rsidP="00CE0E46">
      <w:pPr>
        <w:tabs>
          <w:tab w:val="left" w:pos="1530"/>
        </w:tabs>
        <w:spacing w:after="0"/>
        <w:rPr>
          <w:rFonts w:cs="Times New Roman"/>
        </w:rPr>
      </w:pPr>
      <w:r>
        <w:rPr>
          <w:rFonts w:cs="Times New Roman"/>
        </w:rPr>
        <w:t>Graf</w:t>
      </w:r>
      <w:r w:rsidR="004D7B40">
        <w:rPr>
          <w:rFonts w:cs="Times New Roman"/>
        </w:rPr>
        <w:t xml:space="preserve"> 6</w:t>
      </w:r>
      <w:r>
        <w:rPr>
          <w:rFonts w:cs="Times New Roman"/>
        </w:rPr>
        <w:t>: Zamestnanci podľa typu pracovného času (ženy, v tis. osobách)</w:t>
      </w:r>
    </w:p>
    <w:p w:rsidR="00611037" w:rsidRDefault="005E18D7" w:rsidP="00CE0E46">
      <w:pPr>
        <w:tabs>
          <w:tab w:val="left" w:pos="1530"/>
        </w:tabs>
        <w:spacing w:after="0"/>
        <w:rPr>
          <w:rFonts w:cs="Times New Roman"/>
        </w:rPr>
      </w:pPr>
      <w:r>
        <w:rPr>
          <w:noProof/>
          <w:lang w:val="en-US"/>
        </w:rPr>
        <w:drawing>
          <wp:inline distT="0" distB="0" distL="0" distR="0" wp14:anchorId="36F48DAE" wp14:editId="249E098B">
            <wp:extent cx="4086225" cy="2124075"/>
            <wp:effectExtent l="0" t="0" r="9525" b="9525"/>
            <wp:docPr id="29" name="Graf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E75062" w:rsidRDefault="00E75062" w:rsidP="00E75062">
      <w:pPr>
        <w:tabs>
          <w:tab w:val="left" w:pos="1035"/>
        </w:tabs>
        <w:spacing w:after="0"/>
        <w:rPr>
          <w:rFonts w:cs="Times New Roman"/>
        </w:rPr>
      </w:pPr>
      <w:r>
        <w:rPr>
          <w:rFonts w:cs="Times New Roman"/>
        </w:rPr>
        <w:t>Zdroj: ŠÚ SR</w:t>
      </w:r>
    </w:p>
    <w:p w:rsidR="00611037" w:rsidRDefault="00611037" w:rsidP="00CE0E46">
      <w:pPr>
        <w:tabs>
          <w:tab w:val="left" w:pos="1530"/>
        </w:tabs>
        <w:spacing w:after="0"/>
        <w:rPr>
          <w:rFonts w:cs="Times New Roman"/>
        </w:rPr>
      </w:pPr>
    </w:p>
    <w:p w:rsidR="00E75062" w:rsidRDefault="00E75062">
      <w:pPr>
        <w:rPr>
          <w:rFonts w:cs="Times New Roman"/>
        </w:rPr>
      </w:pPr>
      <w:r>
        <w:rPr>
          <w:rFonts w:cs="Times New Roman"/>
        </w:rPr>
        <w:br w:type="page"/>
      </w:r>
    </w:p>
    <w:p w:rsidR="007764D7" w:rsidRDefault="007764D7" w:rsidP="00CE0E46">
      <w:pPr>
        <w:tabs>
          <w:tab w:val="left" w:pos="1530"/>
        </w:tabs>
        <w:spacing w:after="0"/>
        <w:rPr>
          <w:rFonts w:cs="Times New Roman"/>
        </w:rPr>
      </w:pPr>
      <w:r>
        <w:rPr>
          <w:rFonts w:cs="Times New Roman"/>
        </w:rPr>
        <w:lastRenderedPageBreak/>
        <w:t xml:space="preserve">Graf </w:t>
      </w:r>
      <w:r w:rsidR="004D7B40">
        <w:rPr>
          <w:rFonts w:cs="Times New Roman"/>
        </w:rPr>
        <w:t>7</w:t>
      </w:r>
      <w:r>
        <w:rPr>
          <w:rFonts w:cs="Times New Roman"/>
        </w:rPr>
        <w:t>: Zamestnanci podľa typu pracovného času (</w:t>
      </w:r>
      <w:r w:rsidR="001016F3">
        <w:rPr>
          <w:rFonts w:cs="Times New Roman"/>
        </w:rPr>
        <w:t xml:space="preserve">muži a ženy spolu, </w:t>
      </w:r>
      <w:r>
        <w:rPr>
          <w:rFonts w:cs="Times New Roman"/>
        </w:rPr>
        <w:t>v tis. osobách)</w:t>
      </w:r>
    </w:p>
    <w:p w:rsidR="00CE0E46" w:rsidRDefault="00006233" w:rsidP="00CE0E46">
      <w:pPr>
        <w:tabs>
          <w:tab w:val="left" w:pos="1530"/>
        </w:tabs>
        <w:spacing w:after="0"/>
        <w:rPr>
          <w:rFonts w:cs="Times New Roman"/>
        </w:rPr>
      </w:pPr>
      <w:r>
        <w:rPr>
          <w:noProof/>
          <w:lang w:val="en-US"/>
        </w:rPr>
        <w:drawing>
          <wp:inline distT="0" distB="0" distL="0" distR="0" wp14:anchorId="745B36B9" wp14:editId="3FB1589F">
            <wp:extent cx="4171950" cy="2171700"/>
            <wp:effectExtent l="0" t="0" r="19050" b="19050"/>
            <wp:docPr id="31" name="Graf 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CE0E46" w:rsidRDefault="00CE0E46" w:rsidP="00CE0E46">
      <w:pPr>
        <w:tabs>
          <w:tab w:val="left" w:pos="1035"/>
        </w:tabs>
        <w:spacing w:after="0"/>
        <w:rPr>
          <w:rFonts w:cs="Times New Roman"/>
        </w:rPr>
      </w:pPr>
      <w:r>
        <w:rPr>
          <w:rFonts w:cs="Times New Roman"/>
        </w:rPr>
        <w:t>Zdroj: ŠÚ SR</w:t>
      </w:r>
    </w:p>
    <w:p w:rsidR="00FD41EF" w:rsidRDefault="00FD41EF" w:rsidP="00FD41EF">
      <w:pPr>
        <w:tabs>
          <w:tab w:val="left" w:pos="1530"/>
        </w:tabs>
        <w:spacing w:after="0"/>
        <w:rPr>
          <w:rFonts w:cs="Times New Roman"/>
        </w:rPr>
      </w:pPr>
    </w:p>
    <w:p w:rsidR="00FD41EF" w:rsidRDefault="00FD41EF" w:rsidP="00FD41EF">
      <w:pPr>
        <w:tabs>
          <w:tab w:val="left" w:pos="1530"/>
        </w:tabs>
        <w:spacing w:after="0"/>
        <w:rPr>
          <w:rFonts w:cs="Times New Roman"/>
        </w:rPr>
      </w:pPr>
      <w:r>
        <w:rPr>
          <w:rFonts w:cs="Times New Roman"/>
        </w:rPr>
        <w:t xml:space="preserve">Graf </w:t>
      </w:r>
      <w:r w:rsidR="004D7B40">
        <w:rPr>
          <w:rFonts w:cs="Times New Roman"/>
        </w:rPr>
        <w:t>8</w:t>
      </w:r>
      <w:r>
        <w:rPr>
          <w:rFonts w:cs="Times New Roman"/>
        </w:rPr>
        <w:t>: Zamestnanci podľa typu pracovného času (muži, v tis. osobách)</w:t>
      </w:r>
    </w:p>
    <w:p w:rsidR="001016F3" w:rsidRDefault="00F15A20" w:rsidP="001016F3">
      <w:pPr>
        <w:tabs>
          <w:tab w:val="left" w:pos="1530"/>
        </w:tabs>
        <w:spacing w:after="0"/>
        <w:rPr>
          <w:rFonts w:cs="Times New Roman"/>
        </w:rPr>
      </w:pPr>
      <w:r>
        <w:rPr>
          <w:noProof/>
          <w:lang w:val="en-US"/>
        </w:rPr>
        <w:drawing>
          <wp:inline distT="0" distB="0" distL="0" distR="0" wp14:anchorId="2350CFA2" wp14:editId="75376FDF">
            <wp:extent cx="4171950" cy="2114550"/>
            <wp:effectExtent l="0" t="0" r="19050" b="19050"/>
            <wp:docPr id="34" name="Graf 3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FD41EF" w:rsidRDefault="00FD41EF" w:rsidP="001016F3">
      <w:pPr>
        <w:tabs>
          <w:tab w:val="left" w:pos="1530"/>
        </w:tabs>
        <w:spacing w:after="0"/>
        <w:rPr>
          <w:rFonts w:cs="Times New Roman"/>
        </w:rPr>
      </w:pPr>
    </w:p>
    <w:p w:rsidR="00607EE9" w:rsidRDefault="001016F3" w:rsidP="001016F3">
      <w:pPr>
        <w:tabs>
          <w:tab w:val="left" w:pos="1530"/>
        </w:tabs>
        <w:spacing w:after="0"/>
        <w:rPr>
          <w:rFonts w:cs="Times New Roman"/>
        </w:rPr>
      </w:pPr>
      <w:r>
        <w:rPr>
          <w:rFonts w:cs="Times New Roman"/>
        </w:rPr>
        <w:t xml:space="preserve">Graf </w:t>
      </w:r>
      <w:r w:rsidR="004D7B40">
        <w:rPr>
          <w:rFonts w:cs="Times New Roman"/>
        </w:rPr>
        <w:t>9</w:t>
      </w:r>
      <w:r>
        <w:rPr>
          <w:rFonts w:cs="Times New Roman"/>
        </w:rPr>
        <w:t>: Zamestnanci podľa typu pracovného času (</w:t>
      </w:r>
      <w:r w:rsidR="00FD41EF">
        <w:rPr>
          <w:rFonts w:cs="Times New Roman"/>
        </w:rPr>
        <w:t>ženy</w:t>
      </w:r>
      <w:r>
        <w:rPr>
          <w:rFonts w:cs="Times New Roman"/>
        </w:rPr>
        <w:t>, v tis. osobách)</w:t>
      </w:r>
    </w:p>
    <w:p w:rsidR="001016F3" w:rsidRDefault="003C20E2" w:rsidP="001016F3">
      <w:pPr>
        <w:spacing w:after="0"/>
        <w:rPr>
          <w:rFonts w:cs="Times New Roman"/>
        </w:rPr>
      </w:pPr>
      <w:r>
        <w:rPr>
          <w:noProof/>
          <w:lang w:val="en-US"/>
        </w:rPr>
        <w:drawing>
          <wp:inline distT="0" distB="0" distL="0" distR="0" wp14:anchorId="77247AAF" wp14:editId="1A295FD4">
            <wp:extent cx="4171950" cy="1938338"/>
            <wp:effectExtent l="0" t="0" r="19050" b="24130"/>
            <wp:docPr id="35" name="Graf 3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1016F3" w:rsidRDefault="001016F3" w:rsidP="001016F3">
      <w:pPr>
        <w:tabs>
          <w:tab w:val="left" w:pos="1035"/>
        </w:tabs>
        <w:spacing w:after="0"/>
        <w:rPr>
          <w:rFonts w:cs="Times New Roman"/>
        </w:rPr>
      </w:pPr>
      <w:r>
        <w:rPr>
          <w:rFonts w:cs="Times New Roman"/>
        </w:rPr>
        <w:t>Zdroj: ŠÚ SR</w:t>
      </w:r>
    </w:p>
    <w:p w:rsidR="001016F3" w:rsidRDefault="001016F3" w:rsidP="00607EE9">
      <w:pPr>
        <w:spacing w:after="0"/>
        <w:rPr>
          <w:rFonts w:cs="Times New Roman"/>
        </w:rPr>
      </w:pPr>
    </w:p>
    <w:p w:rsidR="00F8552B" w:rsidRDefault="00F8552B">
      <w:pPr>
        <w:rPr>
          <w:rFonts w:cs="Times New Roman"/>
        </w:rPr>
      </w:pPr>
      <w:r>
        <w:rPr>
          <w:rFonts w:cs="Times New Roman"/>
        </w:rPr>
        <w:br w:type="page"/>
      </w:r>
    </w:p>
    <w:p w:rsidR="00607EE9" w:rsidRDefault="00607EE9" w:rsidP="00607EE9">
      <w:pPr>
        <w:spacing w:after="0"/>
        <w:rPr>
          <w:rFonts w:cs="Times New Roman"/>
        </w:rPr>
      </w:pPr>
      <w:r>
        <w:rPr>
          <w:rFonts w:cs="Times New Roman"/>
        </w:rPr>
        <w:lastRenderedPageBreak/>
        <w:t>Tabuľka</w:t>
      </w:r>
      <w:r w:rsidR="004D7B40">
        <w:rPr>
          <w:rFonts w:cs="Times New Roman"/>
        </w:rPr>
        <w:t xml:space="preserve"> 1</w:t>
      </w:r>
      <w:r>
        <w:rPr>
          <w:rFonts w:cs="Times New Roman"/>
        </w:rPr>
        <w:t>: Zamestnanci podľa typu pracovného času (</w:t>
      </w:r>
      <w:r w:rsidR="00BF5F3B">
        <w:rPr>
          <w:rFonts w:cs="Times New Roman"/>
        </w:rPr>
        <w:t xml:space="preserve">muži a ženy spolu, </w:t>
      </w:r>
      <w:r>
        <w:rPr>
          <w:rFonts w:cs="Times New Roman"/>
        </w:rPr>
        <w:t>v tis. osobách)</w:t>
      </w:r>
    </w:p>
    <w:tbl>
      <w:tblPr>
        <w:tblStyle w:val="Mriekatabuky"/>
        <w:tblW w:w="9288" w:type="dxa"/>
        <w:tblLayout w:type="fixed"/>
        <w:tblLook w:val="04A0" w:firstRow="1" w:lastRow="0" w:firstColumn="1" w:lastColumn="0" w:noHBand="0" w:noVBand="1"/>
      </w:tblPr>
      <w:tblGrid>
        <w:gridCol w:w="2235"/>
        <w:gridCol w:w="850"/>
        <w:gridCol w:w="851"/>
        <w:gridCol w:w="850"/>
        <w:gridCol w:w="851"/>
        <w:gridCol w:w="850"/>
        <w:gridCol w:w="851"/>
        <w:gridCol w:w="992"/>
        <w:gridCol w:w="958"/>
      </w:tblGrid>
      <w:tr w:rsidR="005D5DCE" w:rsidRPr="005D5DCE" w:rsidTr="005A5AC1">
        <w:trPr>
          <w:trHeight w:val="448"/>
        </w:trPr>
        <w:tc>
          <w:tcPr>
            <w:tcW w:w="2235" w:type="dxa"/>
          </w:tcPr>
          <w:p w:rsidR="008134BC" w:rsidRPr="005D5DCE" w:rsidRDefault="008134BC" w:rsidP="00607EE9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vAlign w:val="center"/>
            <w:hideMark/>
          </w:tcPr>
          <w:p w:rsidR="008134BC" w:rsidRPr="00607EE9" w:rsidRDefault="008134BC" w:rsidP="005A5AC1">
            <w:pPr>
              <w:jc w:val="righ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2010Q1</w:t>
            </w:r>
          </w:p>
        </w:tc>
        <w:tc>
          <w:tcPr>
            <w:tcW w:w="851" w:type="dxa"/>
            <w:vAlign w:val="center"/>
            <w:hideMark/>
          </w:tcPr>
          <w:p w:rsidR="008134BC" w:rsidRPr="00607EE9" w:rsidRDefault="008134BC" w:rsidP="005A5AC1">
            <w:pPr>
              <w:jc w:val="righ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2011Q1</w:t>
            </w:r>
          </w:p>
        </w:tc>
        <w:tc>
          <w:tcPr>
            <w:tcW w:w="850" w:type="dxa"/>
            <w:vAlign w:val="center"/>
            <w:hideMark/>
          </w:tcPr>
          <w:p w:rsidR="008134BC" w:rsidRPr="00607EE9" w:rsidRDefault="008134BC" w:rsidP="005A5AC1">
            <w:pPr>
              <w:jc w:val="righ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2012Q1</w:t>
            </w:r>
          </w:p>
        </w:tc>
        <w:tc>
          <w:tcPr>
            <w:tcW w:w="851" w:type="dxa"/>
            <w:vAlign w:val="center"/>
            <w:hideMark/>
          </w:tcPr>
          <w:p w:rsidR="008134BC" w:rsidRPr="00607EE9" w:rsidRDefault="008134BC" w:rsidP="005A5AC1">
            <w:pPr>
              <w:jc w:val="righ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2013Q1</w:t>
            </w:r>
          </w:p>
        </w:tc>
        <w:tc>
          <w:tcPr>
            <w:tcW w:w="850" w:type="dxa"/>
            <w:vAlign w:val="center"/>
            <w:hideMark/>
          </w:tcPr>
          <w:p w:rsidR="008134BC" w:rsidRPr="00607EE9" w:rsidRDefault="008134BC" w:rsidP="005A5AC1">
            <w:pPr>
              <w:jc w:val="righ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2014Q1</w:t>
            </w:r>
          </w:p>
        </w:tc>
        <w:tc>
          <w:tcPr>
            <w:tcW w:w="851" w:type="dxa"/>
            <w:vAlign w:val="center"/>
            <w:hideMark/>
          </w:tcPr>
          <w:p w:rsidR="008134BC" w:rsidRPr="00607EE9" w:rsidRDefault="008134BC" w:rsidP="005A5AC1">
            <w:pPr>
              <w:jc w:val="righ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2015Q1</w:t>
            </w:r>
          </w:p>
        </w:tc>
        <w:tc>
          <w:tcPr>
            <w:tcW w:w="992" w:type="dxa"/>
            <w:vAlign w:val="center"/>
            <w:hideMark/>
          </w:tcPr>
          <w:p w:rsidR="008134BC" w:rsidRPr="00607EE9" w:rsidRDefault="008134BC" w:rsidP="005A5AC1">
            <w:pPr>
              <w:jc w:val="righ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2015Q1/</w:t>
            </w:r>
            <w:r w:rsidR="005D5DCE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607EE9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201</w:t>
            </w:r>
            <w:r w:rsidRPr="005D5DCE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4</w:t>
            </w:r>
            <w:r w:rsidRPr="00607EE9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Q</w:t>
            </w:r>
            <w:r w:rsidRPr="005D5DCE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958" w:type="dxa"/>
            <w:vAlign w:val="center"/>
            <w:hideMark/>
          </w:tcPr>
          <w:p w:rsidR="008134BC" w:rsidRPr="00607EE9" w:rsidRDefault="008134BC" w:rsidP="005A5AC1">
            <w:pPr>
              <w:jc w:val="righ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2015Q1/</w:t>
            </w:r>
            <w:r w:rsidR="005D5DCE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607EE9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2010Q1</w:t>
            </w:r>
          </w:p>
        </w:tc>
      </w:tr>
      <w:tr w:rsidR="005D5DCE" w:rsidRPr="005D5DCE" w:rsidTr="005D5DCE">
        <w:trPr>
          <w:trHeight w:val="300"/>
        </w:trPr>
        <w:tc>
          <w:tcPr>
            <w:tcW w:w="2235" w:type="dxa"/>
            <w:vAlign w:val="center"/>
          </w:tcPr>
          <w:p w:rsidR="008134BC" w:rsidRPr="005D5DCE" w:rsidRDefault="008134B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5D5DCE">
              <w:rPr>
                <w:rFonts w:ascii="Calibri" w:hAnsi="Calibri"/>
                <w:color w:val="000000"/>
                <w:sz w:val="18"/>
                <w:szCs w:val="18"/>
              </w:rPr>
              <w:t>Zamestnanci</w:t>
            </w:r>
          </w:p>
        </w:tc>
        <w:tc>
          <w:tcPr>
            <w:tcW w:w="850" w:type="dxa"/>
            <w:noWrap/>
            <w:vAlign w:val="center"/>
            <w:hideMark/>
          </w:tcPr>
          <w:p w:rsidR="008134BC" w:rsidRPr="00607EE9" w:rsidRDefault="008134BC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1 906,9</w:t>
            </w:r>
          </w:p>
        </w:tc>
        <w:tc>
          <w:tcPr>
            <w:tcW w:w="851" w:type="dxa"/>
            <w:noWrap/>
            <w:vAlign w:val="center"/>
            <w:hideMark/>
          </w:tcPr>
          <w:p w:rsidR="008134BC" w:rsidRPr="00607EE9" w:rsidRDefault="008134BC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1 925,4</w:t>
            </w:r>
          </w:p>
        </w:tc>
        <w:tc>
          <w:tcPr>
            <w:tcW w:w="850" w:type="dxa"/>
            <w:noWrap/>
            <w:vAlign w:val="center"/>
            <w:hideMark/>
          </w:tcPr>
          <w:p w:rsidR="008134BC" w:rsidRPr="00607EE9" w:rsidRDefault="008134BC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1 964,3</w:t>
            </w:r>
          </w:p>
        </w:tc>
        <w:tc>
          <w:tcPr>
            <w:tcW w:w="851" w:type="dxa"/>
            <w:noWrap/>
            <w:vAlign w:val="center"/>
            <w:hideMark/>
          </w:tcPr>
          <w:p w:rsidR="008134BC" w:rsidRPr="00607EE9" w:rsidRDefault="008134BC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1 963,7</w:t>
            </w:r>
          </w:p>
        </w:tc>
        <w:tc>
          <w:tcPr>
            <w:tcW w:w="850" w:type="dxa"/>
            <w:noWrap/>
            <w:vAlign w:val="center"/>
            <w:hideMark/>
          </w:tcPr>
          <w:p w:rsidR="008134BC" w:rsidRPr="00607EE9" w:rsidRDefault="008134BC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1 968,0</w:t>
            </w:r>
          </w:p>
        </w:tc>
        <w:tc>
          <w:tcPr>
            <w:tcW w:w="851" w:type="dxa"/>
            <w:noWrap/>
            <w:vAlign w:val="center"/>
            <w:hideMark/>
          </w:tcPr>
          <w:p w:rsidR="008134BC" w:rsidRPr="00607EE9" w:rsidRDefault="008134BC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2 028,7</w:t>
            </w:r>
          </w:p>
        </w:tc>
        <w:tc>
          <w:tcPr>
            <w:tcW w:w="992" w:type="dxa"/>
            <w:noWrap/>
            <w:vAlign w:val="center"/>
            <w:hideMark/>
          </w:tcPr>
          <w:p w:rsidR="008134BC" w:rsidRPr="005D5DCE" w:rsidRDefault="008134BC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5D5DCE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60,7</w:t>
            </w:r>
          </w:p>
        </w:tc>
        <w:tc>
          <w:tcPr>
            <w:tcW w:w="958" w:type="dxa"/>
            <w:noWrap/>
            <w:vAlign w:val="center"/>
            <w:hideMark/>
          </w:tcPr>
          <w:p w:rsidR="008134BC" w:rsidRPr="00607EE9" w:rsidRDefault="008134BC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121,8</w:t>
            </w:r>
          </w:p>
        </w:tc>
      </w:tr>
      <w:tr w:rsidR="005D5DCE" w:rsidRPr="005D5DCE" w:rsidTr="005D5DCE">
        <w:trPr>
          <w:trHeight w:val="300"/>
        </w:trPr>
        <w:tc>
          <w:tcPr>
            <w:tcW w:w="2235" w:type="dxa"/>
            <w:vAlign w:val="center"/>
          </w:tcPr>
          <w:p w:rsidR="008134BC" w:rsidRPr="005D5DCE" w:rsidRDefault="008134BC" w:rsidP="005D5DCE">
            <w:pPr>
              <w:pStyle w:val="Odsekzoznamu"/>
              <w:numPr>
                <w:ilvl w:val="0"/>
                <w:numId w:val="1"/>
              </w:numPr>
              <w:ind w:left="170" w:hanging="170"/>
              <w:rPr>
                <w:rFonts w:ascii="Calibri" w:hAnsi="Calibri"/>
                <w:color w:val="000000"/>
                <w:sz w:val="18"/>
                <w:szCs w:val="18"/>
              </w:rPr>
            </w:pPr>
            <w:r w:rsidRPr="005D5DCE">
              <w:rPr>
                <w:rFonts w:ascii="Calibri" w:hAnsi="Calibri"/>
                <w:color w:val="000000"/>
                <w:sz w:val="18"/>
                <w:szCs w:val="18"/>
              </w:rPr>
              <w:t>na plný prac. čas</w:t>
            </w:r>
          </w:p>
        </w:tc>
        <w:tc>
          <w:tcPr>
            <w:tcW w:w="850" w:type="dxa"/>
            <w:noWrap/>
            <w:vAlign w:val="center"/>
            <w:hideMark/>
          </w:tcPr>
          <w:p w:rsidR="008134BC" w:rsidRPr="00607EE9" w:rsidRDefault="008134BC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1 833,6</w:t>
            </w:r>
          </w:p>
        </w:tc>
        <w:tc>
          <w:tcPr>
            <w:tcW w:w="851" w:type="dxa"/>
            <w:noWrap/>
            <w:vAlign w:val="center"/>
            <w:hideMark/>
          </w:tcPr>
          <w:p w:rsidR="008134BC" w:rsidRPr="00607EE9" w:rsidRDefault="008134BC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1 835,3</w:t>
            </w:r>
          </w:p>
        </w:tc>
        <w:tc>
          <w:tcPr>
            <w:tcW w:w="850" w:type="dxa"/>
            <w:noWrap/>
            <w:vAlign w:val="center"/>
            <w:hideMark/>
          </w:tcPr>
          <w:p w:rsidR="008134BC" w:rsidRPr="00607EE9" w:rsidRDefault="008134BC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1 873,1</w:t>
            </w:r>
          </w:p>
        </w:tc>
        <w:tc>
          <w:tcPr>
            <w:tcW w:w="851" w:type="dxa"/>
            <w:noWrap/>
            <w:vAlign w:val="center"/>
            <w:hideMark/>
          </w:tcPr>
          <w:p w:rsidR="008134BC" w:rsidRPr="00607EE9" w:rsidRDefault="008134BC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1 863,2</w:t>
            </w:r>
          </w:p>
        </w:tc>
        <w:tc>
          <w:tcPr>
            <w:tcW w:w="850" w:type="dxa"/>
            <w:noWrap/>
            <w:vAlign w:val="center"/>
            <w:hideMark/>
          </w:tcPr>
          <w:p w:rsidR="008134BC" w:rsidRPr="00607EE9" w:rsidRDefault="008134BC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1 862,3</w:t>
            </w:r>
          </w:p>
        </w:tc>
        <w:tc>
          <w:tcPr>
            <w:tcW w:w="851" w:type="dxa"/>
            <w:noWrap/>
            <w:vAlign w:val="center"/>
            <w:hideMark/>
          </w:tcPr>
          <w:p w:rsidR="008134BC" w:rsidRPr="00607EE9" w:rsidRDefault="008134BC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1 887,2</w:t>
            </w:r>
          </w:p>
        </w:tc>
        <w:tc>
          <w:tcPr>
            <w:tcW w:w="992" w:type="dxa"/>
            <w:noWrap/>
            <w:vAlign w:val="center"/>
            <w:hideMark/>
          </w:tcPr>
          <w:p w:rsidR="008134BC" w:rsidRPr="005D5DCE" w:rsidRDefault="008134BC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5D5DCE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24,9</w:t>
            </w:r>
          </w:p>
        </w:tc>
        <w:tc>
          <w:tcPr>
            <w:tcW w:w="958" w:type="dxa"/>
            <w:noWrap/>
            <w:vAlign w:val="center"/>
            <w:hideMark/>
          </w:tcPr>
          <w:p w:rsidR="008134BC" w:rsidRPr="00607EE9" w:rsidRDefault="008134BC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53,6</w:t>
            </w:r>
          </w:p>
        </w:tc>
      </w:tr>
      <w:tr w:rsidR="005D5DCE" w:rsidRPr="005D5DCE" w:rsidTr="005D5DCE">
        <w:trPr>
          <w:trHeight w:val="300"/>
        </w:trPr>
        <w:tc>
          <w:tcPr>
            <w:tcW w:w="2235" w:type="dxa"/>
            <w:vAlign w:val="center"/>
          </w:tcPr>
          <w:p w:rsidR="008134BC" w:rsidRPr="005D5DCE" w:rsidRDefault="008134BC" w:rsidP="005D5DCE">
            <w:pPr>
              <w:pStyle w:val="Odsekzoznamu"/>
              <w:numPr>
                <w:ilvl w:val="0"/>
                <w:numId w:val="1"/>
              </w:numPr>
              <w:ind w:left="170" w:hanging="170"/>
              <w:rPr>
                <w:rFonts w:ascii="Calibri" w:hAnsi="Calibri"/>
                <w:color w:val="000000"/>
                <w:sz w:val="18"/>
                <w:szCs w:val="18"/>
              </w:rPr>
            </w:pPr>
            <w:r w:rsidRPr="005D5DCE">
              <w:rPr>
                <w:rFonts w:ascii="Calibri" w:hAnsi="Calibri"/>
                <w:color w:val="000000"/>
                <w:sz w:val="18"/>
                <w:szCs w:val="18"/>
              </w:rPr>
              <w:t>na kratší prac. čas</w:t>
            </w:r>
          </w:p>
        </w:tc>
        <w:tc>
          <w:tcPr>
            <w:tcW w:w="850" w:type="dxa"/>
            <w:noWrap/>
            <w:vAlign w:val="center"/>
            <w:hideMark/>
          </w:tcPr>
          <w:p w:rsidR="008134BC" w:rsidRPr="00607EE9" w:rsidRDefault="008134BC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73,2</w:t>
            </w:r>
          </w:p>
        </w:tc>
        <w:tc>
          <w:tcPr>
            <w:tcW w:w="851" w:type="dxa"/>
            <w:noWrap/>
            <w:vAlign w:val="center"/>
            <w:hideMark/>
          </w:tcPr>
          <w:p w:rsidR="008134BC" w:rsidRPr="00607EE9" w:rsidRDefault="008134BC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90,1</w:t>
            </w:r>
          </w:p>
        </w:tc>
        <w:tc>
          <w:tcPr>
            <w:tcW w:w="850" w:type="dxa"/>
            <w:noWrap/>
            <w:vAlign w:val="center"/>
            <w:hideMark/>
          </w:tcPr>
          <w:p w:rsidR="008134BC" w:rsidRPr="00607EE9" w:rsidRDefault="008134BC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90,9</w:t>
            </w:r>
          </w:p>
        </w:tc>
        <w:tc>
          <w:tcPr>
            <w:tcW w:w="851" w:type="dxa"/>
            <w:noWrap/>
            <w:vAlign w:val="center"/>
            <w:hideMark/>
          </w:tcPr>
          <w:p w:rsidR="008134BC" w:rsidRPr="00607EE9" w:rsidRDefault="008134BC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100,3</w:t>
            </w:r>
          </w:p>
        </w:tc>
        <w:tc>
          <w:tcPr>
            <w:tcW w:w="850" w:type="dxa"/>
            <w:noWrap/>
            <w:vAlign w:val="center"/>
            <w:hideMark/>
          </w:tcPr>
          <w:p w:rsidR="008134BC" w:rsidRPr="00607EE9" w:rsidRDefault="008134BC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105,7</w:t>
            </w:r>
          </w:p>
        </w:tc>
        <w:tc>
          <w:tcPr>
            <w:tcW w:w="851" w:type="dxa"/>
            <w:noWrap/>
            <w:vAlign w:val="center"/>
            <w:hideMark/>
          </w:tcPr>
          <w:p w:rsidR="008134BC" w:rsidRPr="00607EE9" w:rsidRDefault="008134BC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141,2</w:t>
            </w:r>
          </w:p>
        </w:tc>
        <w:tc>
          <w:tcPr>
            <w:tcW w:w="992" w:type="dxa"/>
            <w:noWrap/>
            <w:vAlign w:val="center"/>
            <w:hideMark/>
          </w:tcPr>
          <w:p w:rsidR="008134BC" w:rsidRPr="005D5DCE" w:rsidRDefault="008134BC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5D5DCE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35,5</w:t>
            </w:r>
          </w:p>
        </w:tc>
        <w:tc>
          <w:tcPr>
            <w:tcW w:w="958" w:type="dxa"/>
            <w:noWrap/>
            <w:vAlign w:val="center"/>
            <w:hideMark/>
          </w:tcPr>
          <w:p w:rsidR="008134BC" w:rsidRPr="00607EE9" w:rsidRDefault="008134BC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68,0</w:t>
            </w:r>
          </w:p>
        </w:tc>
      </w:tr>
      <w:tr w:rsidR="005D5DCE" w:rsidRPr="005D5DCE" w:rsidTr="005D5DCE">
        <w:trPr>
          <w:trHeight w:val="300"/>
        </w:trPr>
        <w:tc>
          <w:tcPr>
            <w:tcW w:w="2235" w:type="dxa"/>
            <w:vAlign w:val="center"/>
          </w:tcPr>
          <w:p w:rsidR="008134BC" w:rsidRPr="005D5DCE" w:rsidRDefault="008134BC" w:rsidP="005D5DCE">
            <w:pPr>
              <w:pStyle w:val="Odsekzoznamu"/>
              <w:numPr>
                <w:ilvl w:val="0"/>
                <w:numId w:val="1"/>
              </w:numPr>
              <w:ind w:left="170" w:hanging="170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5D5DCE">
              <w:rPr>
                <w:rFonts w:ascii="Calibri" w:hAnsi="Calibri"/>
                <w:color w:val="000000"/>
                <w:sz w:val="18"/>
                <w:szCs w:val="18"/>
              </w:rPr>
              <w:t>podzamestnaní</w:t>
            </w:r>
            <w:proofErr w:type="spellEnd"/>
            <w:r w:rsidRPr="005D5DCE">
              <w:rPr>
                <w:rFonts w:ascii="Calibri" w:hAnsi="Calibri"/>
                <w:color w:val="000000"/>
                <w:sz w:val="18"/>
                <w:szCs w:val="18"/>
              </w:rPr>
              <w:t xml:space="preserve"> (od r. 2011)</w:t>
            </w:r>
          </w:p>
        </w:tc>
        <w:tc>
          <w:tcPr>
            <w:tcW w:w="850" w:type="dxa"/>
            <w:noWrap/>
            <w:vAlign w:val="center"/>
            <w:hideMark/>
          </w:tcPr>
          <w:p w:rsidR="008134BC" w:rsidRPr="00607EE9" w:rsidRDefault="008134BC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5D5DCE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-</w:t>
            </w:r>
            <w:r w:rsidRPr="00607EE9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51" w:type="dxa"/>
            <w:noWrap/>
            <w:vAlign w:val="center"/>
            <w:hideMark/>
          </w:tcPr>
          <w:p w:rsidR="008134BC" w:rsidRPr="00607EE9" w:rsidRDefault="008134BC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33,3</w:t>
            </w:r>
          </w:p>
        </w:tc>
        <w:tc>
          <w:tcPr>
            <w:tcW w:w="850" w:type="dxa"/>
            <w:noWrap/>
            <w:vAlign w:val="center"/>
            <w:hideMark/>
          </w:tcPr>
          <w:p w:rsidR="008134BC" w:rsidRPr="00607EE9" w:rsidRDefault="008134BC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35,9</w:t>
            </w:r>
          </w:p>
        </w:tc>
        <w:tc>
          <w:tcPr>
            <w:tcW w:w="851" w:type="dxa"/>
            <w:noWrap/>
            <w:vAlign w:val="center"/>
            <w:hideMark/>
          </w:tcPr>
          <w:p w:rsidR="008134BC" w:rsidRPr="00607EE9" w:rsidRDefault="008134BC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43,6</w:t>
            </w:r>
          </w:p>
        </w:tc>
        <w:tc>
          <w:tcPr>
            <w:tcW w:w="850" w:type="dxa"/>
            <w:noWrap/>
            <w:vAlign w:val="center"/>
            <w:hideMark/>
          </w:tcPr>
          <w:p w:rsidR="008134BC" w:rsidRPr="00607EE9" w:rsidRDefault="008134BC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37,6</w:t>
            </w:r>
          </w:p>
        </w:tc>
        <w:tc>
          <w:tcPr>
            <w:tcW w:w="851" w:type="dxa"/>
            <w:noWrap/>
            <w:vAlign w:val="center"/>
            <w:hideMark/>
          </w:tcPr>
          <w:p w:rsidR="008134BC" w:rsidRPr="00607EE9" w:rsidRDefault="008134BC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62,2</w:t>
            </w:r>
          </w:p>
        </w:tc>
        <w:tc>
          <w:tcPr>
            <w:tcW w:w="992" w:type="dxa"/>
            <w:noWrap/>
            <w:vAlign w:val="center"/>
            <w:hideMark/>
          </w:tcPr>
          <w:p w:rsidR="008134BC" w:rsidRPr="00CD7BF6" w:rsidRDefault="008134BC" w:rsidP="005F7402">
            <w:pPr>
              <w:jc w:val="right"/>
              <w:rPr>
                <w:rFonts w:eastAsia="Times New Roman" w:cs="Times New Roman"/>
                <w:b/>
                <w:color w:val="000000"/>
                <w:sz w:val="18"/>
                <w:szCs w:val="18"/>
                <w:lang w:val="en-US"/>
              </w:rPr>
            </w:pPr>
            <w:r w:rsidRPr="00CD7BF6">
              <w:rPr>
                <w:rFonts w:eastAsia="Times New Roman" w:cs="Times New Roman"/>
                <w:b/>
                <w:color w:val="FF0000"/>
                <w:sz w:val="18"/>
                <w:szCs w:val="18"/>
                <w:lang w:val="en-US"/>
              </w:rPr>
              <w:t>24,6</w:t>
            </w:r>
          </w:p>
        </w:tc>
        <w:tc>
          <w:tcPr>
            <w:tcW w:w="958" w:type="dxa"/>
            <w:noWrap/>
            <w:vAlign w:val="center"/>
            <w:hideMark/>
          </w:tcPr>
          <w:p w:rsidR="008134BC" w:rsidRPr="00607EE9" w:rsidRDefault="008134BC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5D5DCE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-</w:t>
            </w:r>
          </w:p>
        </w:tc>
      </w:tr>
      <w:tr w:rsidR="005D5DCE" w:rsidRPr="005D5DCE" w:rsidTr="005D5DCE">
        <w:trPr>
          <w:trHeight w:val="300"/>
        </w:trPr>
        <w:tc>
          <w:tcPr>
            <w:tcW w:w="2235" w:type="dxa"/>
            <w:vAlign w:val="center"/>
          </w:tcPr>
          <w:p w:rsidR="001E740F" w:rsidRPr="005D5DCE" w:rsidRDefault="001E740F" w:rsidP="001E740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5D5DCE">
              <w:rPr>
                <w:rFonts w:ascii="Calibri" w:hAnsi="Calibri"/>
                <w:color w:val="000000"/>
                <w:sz w:val="18"/>
                <w:szCs w:val="18"/>
              </w:rPr>
              <w:t>Zamestnanci</w:t>
            </w:r>
          </w:p>
        </w:tc>
        <w:tc>
          <w:tcPr>
            <w:tcW w:w="850" w:type="dxa"/>
            <w:noWrap/>
            <w:vAlign w:val="center"/>
          </w:tcPr>
          <w:p w:rsidR="001E740F" w:rsidRPr="00607EE9" w:rsidRDefault="001E740F" w:rsidP="005F7402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1 906,9</w:t>
            </w:r>
          </w:p>
        </w:tc>
        <w:tc>
          <w:tcPr>
            <w:tcW w:w="851" w:type="dxa"/>
            <w:noWrap/>
            <w:vAlign w:val="center"/>
          </w:tcPr>
          <w:p w:rsidR="001E740F" w:rsidRPr="00607EE9" w:rsidRDefault="001E740F" w:rsidP="005F7402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1 925,4</w:t>
            </w:r>
          </w:p>
        </w:tc>
        <w:tc>
          <w:tcPr>
            <w:tcW w:w="850" w:type="dxa"/>
            <w:noWrap/>
            <w:vAlign w:val="center"/>
          </w:tcPr>
          <w:p w:rsidR="001E740F" w:rsidRPr="00607EE9" w:rsidRDefault="001E740F" w:rsidP="005F7402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1 964,3</w:t>
            </w:r>
          </w:p>
        </w:tc>
        <w:tc>
          <w:tcPr>
            <w:tcW w:w="851" w:type="dxa"/>
            <w:noWrap/>
            <w:vAlign w:val="center"/>
          </w:tcPr>
          <w:p w:rsidR="001E740F" w:rsidRPr="00607EE9" w:rsidRDefault="001E740F" w:rsidP="005F7402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1 963,7</w:t>
            </w:r>
          </w:p>
        </w:tc>
        <w:tc>
          <w:tcPr>
            <w:tcW w:w="850" w:type="dxa"/>
            <w:noWrap/>
            <w:vAlign w:val="center"/>
          </w:tcPr>
          <w:p w:rsidR="001E740F" w:rsidRPr="00607EE9" w:rsidRDefault="001E740F" w:rsidP="005F7402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1 968,0</w:t>
            </w:r>
          </w:p>
        </w:tc>
        <w:tc>
          <w:tcPr>
            <w:tcW w:w="851" w:type="dxa"/>
            <w:noWrap/>
            <w:vAlign w:val="center"/>
          </w:tcPr>
          <w:p w:rsidR="001E740F" w:rsidRPr="00607EE9" w:rsidRDefault="001E740F" w:rsidP="005F7402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2 028,7</w:t>
            </w:r>
          </w:p>
        </w:tc>
        <w:tc>
          <w:tcPr>
            <w:tcW w:w="992" w:type="dxa"/>
            <w:noWrap/>
            <w:vAlign w:val="center"/>
          </w:tcPr>
          <w:p w:rsidR="001E740F" w:rsidRPr="005D5DCE" w:rsidRDefault="001E740F" w:rsidP="005F7402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5D5DCE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60,7</w:t>
            </w:r>
          </w:p>
        </w:tc>
        <w:tc>
          <w:tcPr>
            <w:tcW w:w="958" w:type="dxa"/>
            <w:noWrap/>
            <w:vAlign w:val="center"/>
          </w:tcPr>
          <w:p w:rsidR="001E740F" w:rsidRPr="00607EE9" w:rsidRDefault="001E740F" w:rsidP="005F7402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121,8</w:t>
            </w:r>
          </w:p>
        </w:tc>
      </w:tr>
      <w:tr w:rsidR="005D5DCE" w:rsidRPr="005D5DCE" w:rsidTr="005D5DCE">
        <w:trPr>
          <w:trHeight w:val="300"/>
        </w:trPr>
        <w:tc>
          <w:tcPr>
            <w:tcW w:w="2235" w:type="dxa"/>
            <w:vAlign w:val="center"/>
          </w:tcPr>
          <w:p w:rsidR="00FC0DED" w:rsidRPr="005D5DCE" w:rsidRDefault="00FC0DED" w:rsidP="005D5DCE">
            <w:pPr>
              <w:pStyle w:val="Odsekzoznamu"/>
              <w:numPr>
                <w:ilvl w:val="0"/>
                <w:numId w:val="1"/>
              </w:numPr>
              <w:ind w:left="170" w:hanging="170"/>
              <w:rPr>
                <w:rFonts w:ascii="Calibri" w:hAnsi="Calibri"/>
                <w:color w:val="000000"/>
                <w:sz w:val="18"/>
                <w:szCs w:val="18"/>
              </w:rPr>
            </w:pPr>
            <w:r w:rsidRPr="005D5DCE">
              <w:rPr>
                <w:rFonts w:ascii="Calibri" w:hAnsi="Calibri"/>
                <w:color w:val="000000"/>
                <w:sz w:val="18"/>
                <w:szCs w:val="18"/>
              </w:rPr>
              <w:t>práca stála</w:t>
            </w:r>
          </w:p>
        </w:tc>
        <w:tc>
          <w:tcPr>
            <w:tcW w:w="850" w:type="dxa"/>
            <w:noWrap/>
            <w:vAlign w:val="center"/>
          </w:tcPr>
          <w:p w:rsidR="00FC0DED" w:rsidRPr="005D5DCE" w:rsidRDefault="00FC0DED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5D5DCE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1 821,0</w:t>
            </w:r>
          </w:p>
        </w:tc>
        <w:tc>
          <w:tcPr>
            <w:tcW w:w="851" w:type="dxa"/>
            <w:noWrap/>
            <w:vAlign w:val="center"/>
          </w:tcPr>
          <w:p w:rsidR="00FC0DED" w:rsidRPr="005D5DCE" w:rsidRDefault="00FC0DED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5D5DCE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1 806,6</w:t>
            </w:r>
          </w:p>
        </w:tc>
        <w:tc>
          <w:tcPr>
            <w:tcW w:w="850" w:type="dxa"/>
            <w:noWrap/>
            <w:vAlign w:val="center"/>
          </w:tcPr>
          <w:p w:rsidR="00FC0DED" w:rsidRPr="005D5DCE" w:rsidRDefault="00FC0DED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5D5DCE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1 827,1</w:t>
            </w:r>
          </w:p>
        </w:tc>
        <w:tc>
          <w:tcPr>
            <w:tcW w:w="851" w:type="dxa"/>
            <w:noWrap/>
            <w:vAlign w:val="center"/>
          </w:tcPr>
          <w:p w:rsidR="00FC0DED" w:rsidRPr="005D5DCE" w:rsidRDefault="00FC0DED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5D5DCE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1 831,7</w:t>
            </w:r>
          </w:p>
        </w:tc>
        <w:tc>
          <w:tcPr>
            <w:tcW w:w="850" w:type="dxa"/>
            <w:noWrap/>
            <w:vAlign w:val="center"/>
          </w:tcPr>
          <w:p w:rsidR="00FC0DED" w:rsidRPr="005D5DCE" w:rsidRDefault="00FC0DED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5D5DCE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1 819,4</w:t>
            </w:r>
          </w:p>
        </w:tc>
        <w:tc>
          <w:tcPr>
            <w:tcW w:w="851" w:type="dxa"/>
            <w:noWrap/>
            <w:vAlign w:val="center"/>
          </w:tcPr>
          <w:p w:rsidR="00FC0DED" w:rsidRPr="005D5DCE" w:rsidRDefault="00FC0DED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5D5DCE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1 823,1</w:t>
            </w:r>
          </w:p>
        </w:tc>
        <w:tc>
          <w:tcPr>
            <w:tcW w:w="992" w:type="dxa"/>
            <w:noWrap/>
            <w:vAlign w:val="center"/>
          </w:tcPr>
          <w:p w:rsidR="00FC0DED" w:rsidRPr="00F23838" w:rsidRDefault="00FC0DED" w:rsidP="00B954B4">
            <w:pPr>
              <w:jc w:val="right"/>
              <w:rPr>
                <w:rFonts w:eastAsia="Times New Roman" w:cs="Times New Roman"/>
                <w:b/>
                <w:color w:val="FF0000"/>
                <w:sz w:val="18"/>
                <w:szCs w:val="18"/>
                <w:lang w:val="en-US"/>
              </w:rPr>
            </w:pPr>
            <w:r w:rsidRPr="00F23838">
              <w:rPr>
                <w:rFonts w:eastAsia="Times New Roman" w:cs="Times New Roman"/>
                <w:b/>
                <w:color w:val="FF0000"/>
                <w:sz w:val="18"/>
                <w:szCs w:val="18"/>
                <w:lang w:val="en-US"/>
              </w:rPr>
              <w:t>3,7</w:t>
            </w:r>
          </w:p>
        </w:tc>
        <w:tc>
          <w:tcPr>
            <w:tcW w:w="958" w:type="dxa"/>
            <w:noWrap/>
            <w:vAlign w:val="center"/>
          </w:tcPr>
          <w:p w:rsidR="00FC0DED" w:rsidRPr="00F23838" w:rsidRDefault="00FC0DED" w:rsidP="00B954B4">
            <w:pPr>
              <w:jc w:val="right"/>
              <w:rPr>
                <w:rFonts w:eastAsia="Times New Roman" w:cs="Times New Roman"/>
                <w:b/>
                <w:color w:val="FF0000"/>
                <w:sz w:val="18"/>
                <w:szCs w:val="18"/>
                <w:lang w:val="en-US"/>
              </w:rPr>
            </w:pPr>
            <w:r w:rsidRPr="00F23838">
              <w:rPr>
                <w:rFonts w:eastAsia="Times New Roman" w:cs="Times New Roman"/>
                <w:b/>
                <w:color w:val="FF0000"/>
                <w:sz w:val="18"/>
                <w:szCs w:val="18"/>
                <w:lang w:val="en-US"/>
              </w:rPr>
              <w:t>2,1</w:t>
            </w:r>
          </w:p>
        </w:tc>
      </w:tr>
      <w:tr w:rsidR="005D5DCE" w:rsidRPr="005D5DCE" w:rsidTr="005D5DCE">
        <w:trPr>
          <w:trHeight w:val="300"/>
        </w:trPr>
        <w:tc>
          <w:tcPr>
            <w:tcW w:w="2235" w:type="dxa"/>
            <w:vAlign w:val="center"/>
          </w:tcPr>
          <w:p w:rsidR="00FC0DED" w:rsidRPr="005D5DCE" w:rsidRDefault="00FC0DED" w:rsidP="005D5DCE">
            <w:pPr>
              <w:pStyle w:val="Odsekzoznamu"/>
              <w:numPr>
                <w:ilvl w:val="0"/>
                <w:numId w:val="1"/>
              </w:numPr>
              <w:ind w:left="170" w:hanging="170"/>
              <w:rPr>
                <w:rFonts w:ascii="Calibri" w:hAnsi="Calibri"/>
                <w:color w:val="000000"/>
                <w:sz w:val="18"/>
                <w:szCs w:val="18"/>
              </w:rPr>
            </w:pPr>
            <w:r w:rsidRPr="005D5DCE">
              <w:rPr>
                <w:rFonts w:ascii="Calibri" w:hAnsi="Calibri"/>
                <w:color w:val="000000"/>
                <w:sz w:val="18"/>
                <w:szCs w:val="18"/>
              </w:rPr>
              <w:t>práca dočasná</w:t>
            </w:r>
            <w:r w:rsidR="00B954B4" w:rsidRPr="005D5DCE">
              <w:rPr>
                <w:rFonts w:ascii="Calibri" w:hAnsi="Calibri"/>
                <w:color w:val="000000"/>
                <w:sz w:val="18"/>
                <w:szCs w:val="18"/>
              </w:rPr>
              <w:t>, príležitostná</w:t>
            </w:r>
            <w:r w:rsidR="005D5DCE" w:rsidRPr="005D5DCE">
              <w:rPr>
                <w:rFonts w:ascii="Calibri" w:hAnsi="Calibri"/>
                <w:color w:val="000000"/>
                <w:sz w:val="18"/>
                <w:szCs w:val="18"/>
              </w:rPr>
              <w:t>,</w:t>
            </w:r>
            <w:r w:rsidR="00B954B4" w:rsidRPr="005D5DCE">
              <w:rPr>
                <w:rFonts w:ascii="Calibri" w:hAnsi="Calibri"/>
                <w:color w:val="000000"/>
                <w:sz w:val="18"/>
                <w:szCs w:val="18"/>
              </w:rPr>
              <w:t xml:space="preserve"> sezónna</w:t>
            </w:r>
          </w:p>
        </w:tc>
        <w:tc>
          <w:tcPr>
            <w:tcW w:w="850" w:type="dxa"/>
            <w:noWrap/>
            <w:vAlign w:val="center"/>
          </w:tcPr>
          <w:p w:rsidR="00FC0DED" w:rsidRPr="005D5DCE" w:rsidRDefault="00FC0DED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5D5DCE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85,9</w:t>
            </w:r>
          </w:p>
        </w:tc>
        <w:tc>
          <w:tcPr>
            <w:tcW w:w="851" w:type="dxa"/>
            <w:noWrap/>
            <w:vAlign w:val="center"/>
          </w:tcPr>
          <w:p w:rsidR="00FC0DED" w:rsidRPr="005D5DCE" w:rsidRDefault="00FC0DED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5D5DCE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118,8</w:t>
            </w:r>
          </w:p>
        </w:tc>
        <w:tc>
          <w:tcPr>
            <w:tcW w:w="850" w:type="dxa"/>
            <w:noWrap/>
            <w:vAlign w:val="center"/>
          </w:tcPr>
          <w:p w:rsidR="00FC0DED" w:rsidRPr="005D5DCE" w:rsidRDefault="00FC0DED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5D5DCE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137,2</w:t>
            </w:r>
          </w:p>
        </w:tc>
        <w:tc>
          <w:tcPr>
            <w:tcW w:w="851" w:type="dxa"/>
            <w:noWrap/>
            <w:vAlign w:val="center"/>
          </w:tcPr>
          <w:p w:rsidR="00FC0DED" w:rsidRPr="005D5DCE" w:rsidRDefault="00FC0DED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5D5DCE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132</w:t>
            </w:r>
            <w:r w:rsidR="005F7402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,0</w:t>
            </w:r>
          </w:p>
        </w:tc>
        <w:tc>
          <w:tcPr>
            <w:tcW w:w="850" w:type="dxa"/>
            <w:noWrap/>
            <w:vAlign w:val="center"/>
          </w:tcPr>
          <w:p w:rsidR="00FC0DED" w:rsidRPr="005D5DCE" w:rsidRDefault="00FC0DED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5D5DCE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148,4</w:t>
            </w:r>
          </w:p>
        </w:tc>
        <w:tc>
          <w:tcPr>
            <w:tcW w:w="851" w:type="dxa"/>
            <w:noWrap/>
            <w:vAlign w:val="center"/>
          </w:tcPr>
          <w:p w:rsidR="00FC0DED" w:rsidRPr="005D5DCE" w:rsidRDefault="00FC0DED" w:rsidP="00B954B4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5D5DCE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205,4</w:t>
            </w:r>
          </w:p>
        </w:tc>
        <w:tc>
          <w:tcPr>
            <w:tcW w:w="992" w:type="dxa"/>
            <w:noWrap/>
            <w:vAlign w:val="center"/>
          </w:tcPr>
          <w:p w:rsidR="00FC0DED" w:rsidRPr="00F23838" w:rsidRDefault="00FC0DED" w:rsidP="00B954B4">
            <w:pPr>
              <w:jc w:val="right"/>
              <w:rPr>
                <w:rFonts w:eastAsia="Times New Roman" w:cs="Times New Roman"/>
                <w:b/>
                <w:color w:val="FF0000"/>
                <w:sz w:val="18"/>
                <w:szCs w:val="18"/>
                <w:lang w:val="en-US"/>
              </w:rPr>
            </w:pPr>
            <w:r w:rsidRPr="00F23838">
              <w:rPr>
                <w:rFonts w:eastAsia="Times New Roman" w:cs="Times New Roman"/>
                <w:b/>
                <w:color w:val="FF0000"/>
                <w:sz w:val="18"/>
                <w:szCs w:val="18"/>
                <w:lang w:val="en-US"/>
              </w:rPr>
              <w:t>57,0</w:t>
            </w:r>
          </w:p>
        </w:tc>
        <w:tc>
          <w:tcPr>
            <w:tcW w:w="958" w:type="dxa"/>
            <w:noWrap/>
            <w:vAlign w:val="center"/>
          </w:tcPr>
          <w:p w:rsidR="00FC0DED" w:rsidRPr="00F23838" w:rsidRDefault="00FC0DED" w:rsidP="00B954B4">
            <w:pPr>
              <w:jc w:val="right"/>
              <w:rPr>
                <w:rFonts w:eastAsia="Times New Roman" w:cs="Times New Roman"/>
                <w:b/>
                <w:color w:val="FF0000"/>
                <w:sz w:val="18"/>
                <w:szCs w:val="18"/>
                <w:lang w:val="en-US"/>
              </w:rPr>
            </w:pPr>
            <w:r w:rsidRPr="00F23838">
              <w:rPr>
                <w:rFonts w:eastAsia="Times New Roman" w:cs="Times New Roman"/>
                <w:b/>
                <w:color w:val="FF0000"/>
                <w:sz w:val="18"/>
                <w:szCs w:val="18"/>
                <w:lang w:val="en-US"/>
              </w:rPr>
              <w:t>119,5</w:t>
            </w:r>
          </w:p>
        </w:tc>
      </w:tr>
    </w:tbl>
    <w:p w:rsidR="00F85EE1" w:rsidRDefault="00F85EE1" w:rsidP="00F85EE1">
      <w:pPr>
        <w:tabs>
          <w:tab w:val="left" w:pos="1035"/>
        </w:tabs>
        <w:spacing w:after="0"/>
        <w:rPr>
          <w:rFonts w:cs="Times New Roman"/>
        </w:rPr>
      </w:pPr>
      <w:r>
        <w:rPr>
          <w:rFonts w:cs="Times New Roman"/>
        </w:rPr>
        <w:t>Zdroj: ŠÚ SR</w:t>
      </w:r>
    </w:p>
    <w:p w:rsidR="004C0EAC" w:rsidRDefault="004C0EAC" w:rsidP="00CE0E46">
      <w:pPr>
        <w:rPr>
          <w:rFonts w:cs="Times New Roman"/>
        </w:rPr>
      </w:pPr>
    </w:p>
    <w:p w:rsidR="00BF5F3B" w:rsidRDefault="00BF5F3B" w:rsidP="00BF5F3B">
      <w:pPr>
        <w:spacing w:after="0"/>
        <w:rPr>
          <w:rFonts w:cs="Times New Roman"/>
        </w:rPr>
      </w:pPr>
      <w:r>
        <w:rPr>
          <w:rFonts w:cs="Times New Roman"/>
        </w:rPr>
        <w:t>Tabuľka</w:t>
      </w:r>
      <w:r w:rsidR="004D7B40">
        <w:rPr>
          <w:rFonts w:cs="Times New Roman"/>
        </w:rPr>
        <w:t xml:space="preserve"> 2</w:t>
      </w:r>
      <w:r>
        <w:rPr>
          <w:rFonts w:cs="Times New Roman"/>
        </w:rPr>
        <w:t>: Zamestnanci podľa typu pracovného času (muži, v tis. osobách)</w:t>
      </w:r>
    </w:p>
    <w:tbl>
      <w:tblPr>
        <w:tblStyle w:val="Mriekatabuky"/>
        <w:tblW w:w="9288" w:type="dxa"/>
        <w:tblLayout w:type="fixed"/>
        <w:tblLook w:val="04A0" w:firstRow="1" w:lastRow="0" w:firstColumn="1" w:lastColumn="0" w:noHBand="0" w:noVBand="1"/>
      </w:tblPr>
      <w:tblGrid>
        <w:gridCol w:w="2235"/>
        <w:gridCol w:w="850"/>
        <w:gridCol w:w="851"/>
        <w:gridCol w:w="850"/>
        <w:gridCol w:w="851"/>
        <w:gridCol w:w="850"/>
        <w:gridCol w:w="851"/>
        <w:gridCol w:w="992"/>
        <w:gridCol w:w="958"/>
      </w:tblGrid>
      <w:tr w:rsidR="00BF5F3B" w:rsidRPr="005A5AC1" w:rsidTr="005A5AC1">
        <w:trPr>
          <w:trHeight w:val="448"/>
        </w:trPr>
        <w:tc>
          <w:tcPr>
            <w:tcW w:w="2235" w:type="dxa"/>
          </w:tcPr>
          <w:p w:rsidR="00BF5F3B" w:rsidRPr="005A5AC1" w:rsidRDefault="00BF5F3B" w:rsidP="00947CF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vAlign w:val="center"/>
            <w:hideMark/>
          </w:tcPr>
          <w:p w:rsidR="00BF5F3B" w:rsidRPr="00607EE9" w:rsidRDefault="00BF5F3B" w:rsidP="005A5AC1">
            <w:pPr>
              <w:jc w:val="righ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2010Q1</w:t>
            </w:r>
          </w:p>
        </w:tc>
        <w:tc>
          <w:tcPr>
            <w:tcW w:w="851" w:type="dxa"/>
            <w:vAlign w:val="center"/>
            <w:hideMark/>
          </w:tcPr>
          <w:p w:rsidR="00BF5F3B" w:rsidRPr="00607EE9" w:rsidRDefault="00BF5F3B" w:rsidP="005A5AC1">
            <w:pPr>
              <w:jc w:val="righ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2011Q1</w:t>
            </w:r>
          </w:p>
        </w:tc>
        <w:tc>
          <w:tcPr>
            <w:tcW w:w="850" w:type="dxa"/>
            <w:vAlign w:val="center"/>
            <w:hideMark/>
          </w:tcPr>
          <w:p w:rsidR="00BF5F3B" w:rsidRPr="00607EE9" w:rsidRDefault="00BF5F3B" w:rsidP="005A5AC1">
            <w:pPr>
              <w:jc w:val="righ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2012Q1</w:t>
            </w:r>
          </w:p>
        </w:tc>
        <w:tc>
          <w:tcPr>
            <w:tcW w:w="851" w:type="dxa"/>
            <w:vAlign w:val="center"/>
            <w:hideMark/>
          </w:tcPr>
          <w:p w:rsidR="00BF5F3B" w:rsidRPr="00607EE9" w:rsidRDefault="00BF5F3B" w:rsidP="005A5AC1">
            <w:pPr>
              <w:jc w:val="righ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2013Q1</w:t>
            </w:r>
          </w:p>
        </w:tc>
        <w:tc>
          <w:tcPr>
            <w:tcW w:w="850" w:type="dxa"/>
            <w:vAlign w:val="center"/>
            <w:hideMark/>
          </w:tcPr>
          <w:p w:rsidR="00BF5F3B" w:rsidRPr="00607EE9" w:rsidRDefault="00BF5F3B" w:rsidP="005A5AC1">
            <w:pPr>
              <w:jc w:val="righ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2014Q1</w:t>
            </w:r>
          </w:p>
        </w:tc>
        <w:tc>
          <w:tcPr>
            <w:tcW w:w="851" w:type="dxa"/>
            <w:vAlign w:val="center"/>
            <w:hideMark/>
          </w:tcPr>
          <w:p w:rsidR="00BF5F3B" w:rsidRPr="00607EE9" w:rsidRDefault="00BF5F3B" w:rsidP="005A5AC1">
            <w:pPr>
              <w:jc w:val="righ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2015Q1</w:t>
            </w:r>
          </w:p>
        </w:tc>
        <w:tc>
          <w:tcPr>
            <w:tcW w:w="992" w:type="dxa"/>
            <w:vAlign w:val="center"/>
            <w:hideMark/>
          </w:tcPr>
          <w:p w:rsidR="00BF5F3B" w:rsidRPr="00607EE9" w:rsidRDefault="00BF5F3B" w:rsidP="005A5AC1">
            <w:pPr>
              <w:jc w:val="righ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2015Q1/</w:t>
            </w:r>
            <w:r w:rsidRPr="005A5AC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607EE9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201</w:t>
            </w:r>
            <w:r w:rsidRPr="005A5AC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4</w:t>
            </w:r>
            <w:r w:rsidRPr="00607EE9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Q</w:t>
            </w:r>
            <w:r w:rsidRPr="005A5AC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958" w:type="dxa"/>
            <w:vAlign w:val="center"/>
            <w:hideMark/>
          </w:tcPr>
          <w:p w:rsidR="00BF5F3B" w:rsidRPr="00607EE9" w:rsidRDefault="00BF5F3B" w:rsidP="005A5AC1">
            <w:pPr>
              <w:jc w:val="righ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2015Q1/</w:t>
            </w:r>
            <w:r w:rsidRPr="005A5AC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607EE9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2010Q1</w:t>
            </w:r>
          </w:p>
        </w:tc>
      </w:tr>
      <w:tr w:rsidR="005A5AC1" w:rsidRPr="005A5AC1" w:rsidTr="005A5AC1">
        <w:trPr>
          <w:trHeight w:val="300"/>
        </w:trPr>
        <w:tc>
          <w:tcPr>
            <w:tcW w:w="2235" w:type="dxa"/>
            <w:vAlign w:val="center"/>
          </w:tcPr>
          <w:p w:rsidR="005A5AC1" w:rsidRPr="005A5AC1" w:rsidRDefault="005A5AC1" w:rsidP="00947CF7">
            <w:pPr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Zamestnanci</w:t>
            </w:r>
          </w:p>
        </w:tc>
        <w:tc>
          <w:tcPr>
            <w:tcW w:w="850" w:type="dxa"/>
            <w:noWrap/>
            <w:vAlign w:val="center"/>
          </w:tcPr>
          <w:p w:rsidR="005A5AC1" w:rsidRPr="005A5AC1" w:rsidRDefault="005A5AC1" w:rsidP="005A5AC1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987,5</w:t>
            </w:r>
          </w:p>
        </w:tc>
        <w:tc>
          <w:tcPr>
            <w:tcW w:w="851" w:type="dxa"/>
            <w:noWrap/>
            <w:vAlign w:val="center"/>
          </w:tcPr>
          <w:p w:rsidR="005A5AC1" w:rsidRPr="005A5AC1" w:rsidRDefault="005A5AC1" w:rsidP="005A5AC1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1 004,9</w:t>
            </w:r>
          </w:p>
        </w:tc>
        <w:tc>
          <w:tcPr>
            <w:tcW w:w="850" w:type="dxa"/>
            <w:noWrap/>
            <w:vAlign w:val="center"/>
          </w:tcPr>
          <w:p w:rsidR="005A5AC1" w:rsidRPr="005A5AC1" w:rsidRDefault="005A5AC1" w:rsidP="005A5AC1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1 040,6</w:t>
            </w:r>
          </w:p>
        </w:tc>
        <w:tc>
          <w:tcPr>
            <w:tcW w:w="851" w:type="dxa"/>
            <w:noWrap/>
            <w:vAlign w:val="center"/>
          </w:tcPr>
          <w:p w:rsidR="005A5AC1" w:rsidRPr="005A5AC1" w:rsidRDefault="005A5AC1" w:rsidP="005A5AC1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1 036,80</w:t>
            </w:r>
          </w:p>
        </w:tc>
        <w:tc>
          <w:tcPr>
            <w:tcW w:w="850" w:type="dxa"/>
            <w:noWrap/>
            <w:vAlign w:val="center"/>
          </w:tcPr>
          <w:p w:rsidR="005A5AC1" w:rsidRPr="005A5AC1" w:rsidRDefault="005A5AC1" w:rsidP="005F7402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1 026,0</w:t>
            </w:r>
          </w:p>
        </w:tc>
        <w:tc>
          <w:tcPr>
            <w:tcW w:w="851" w:type="dxa"/>
            <w:noWrap/>
            <w:vAlign w:val="center"/>
          </w:tcPr>
          <w:p w:rsidR="005A5AC1" w:rsidRPr="005A5AC1" w:rsidRDefault="005A5AC1" w:rsidP="005F7402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1 073,6</w:t>
            </w:r>
          </w:p>
        </w:tc>
        <w:tc>
          <w:tcPr>
            <w:tcW w:w="992" w:type="dxa"/>
            <w:noWrap/>
            <w:vAlign w:val="center"/>
          </w:tcPr>
          <w:p w:rsidR="005A5AC1" w:rsidRPr="005A5AC1" w:rsidRDefault="005A5AC1" w:rsidP="005A5AC1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47,6</w:t>
            </w:r>
          </w:p>
        </w:tc>
        <w:tc>
          <w:tcPr>
            <w:tcW w:w="958" w:type="dxa"/>
            <w:noWrap/>
            <w:vAlign w:val="center"/>
          </w:tcPr>
          <w:p w:rsidR="005A5AC1" w:rsidRPr="005A5AC1" w:rsidRDefault="005A5AC1" w:rsidP="005A5AC1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86,1</w:t>
            </w:r>
          </w:p>
        </w:tc>
      </w:tr>
      <w:tr w:rsidR="005A5AC1" w:rsidRPr="005A5AC1" w:rsidTr="005A5AC1">
        <w:trPr>
          <w:trHeight w:val="300"/>
        </w:trPr>
        <w:tc>
          <w:tcPr>
            <w:tcW w:w="2235" w:type="dxa"/>
            <w:vAlign w:val="center"/>
          </w:tcPr>
          <w:p w:rsidR="005A5AC1" w:rsidRPr="005A5AC1" w:rsidRDefault="005A5AC1" w:rsidP="00947CF7">
            <w:pPr>
              <w:pStyle w:val="Odsekzoznamu"/>
              <w:numPr>
                <w:ilvl w:val="0"/>
                <w:numId w:val="1"/>
              </w:numPr>
              <w:ind w:left="170" w:hanging="170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na plný prac. čas</w:t>
            </w:r>
          </w:p>
        </w:tc>
        <w:tc>
          <w:tcPr>
            <w:tcW w:w="850" w:type="dxa"/>
            <w:noWrap/>
            <w:vAlign w:val="center"/>
          </w:tcPr>
          <w:p w:rsidR="005A5AC1" w:rsidRPr="005A5AC1" w:rsidRDefault="005A5AC1" w:rsidP="005A5AC1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959</w:t>
            </w:r>
          </w:p>
        </w:tc>
        <w:tc>
          <w:tcPr>
            <w:tcW w:w="851" w:type="dxa"/>
            <w:noWrap/>
            <w:vAlign w:val="center"/>
          </w:tcPr>
          <w:p w:rsidR="005A5AC1" w:rsidRPr="005A5AC1" w:rsidRDefault="005A5AC1" w:rsidP="005A5AC1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971,8</w:t>
            </w:r>
          </w:p>
        </w:tc>
        <w:tc>
          <w:tcPr>
            <w:tcW w:w="850" w:type="dxa"/>
            <w:noWrap/>
            <w:vAlign w:val="center"/>
          </w:tcPr>
          <w:p w:rsidR="005A5AC1" w:rsidRPr="005A5AC1" w:rsidRDefault="005A5AC1" w:rsidP="005A5AC1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1 007,2</w:t>
            </w:r>
          </w:p>
        </w:tc>
        <w:tc>
          <w:tcPr>
            <w:tcW w:w="851" w:type="dxa"/>
            <w:noWrap/>
            <w:vAlign w:val="center"/>
          </w:tcPr>
          <w:p w:rsidR="005A5AC1" w:rsidRPr="005A5AC1" w:rsidRDefault="005A5AC1" w:rsidP="005A5AC1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998,5</w:t>
            </w:r>
          </w:p>
        </w:tc>
        <w:tc>
          <w:tcPr>
            <w:tcW w:w="850" w:type="dxa"/>
            <w:noWrap/>
            <w:vAlign w:val="center"/>
          </w:tcPr>
          <w:p w:rsidR="005A5AC1" w:rsidRPr="005A5AC1" w:rsidRDefault="005A5AC1" w:rsidP="005A5AC1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984,8</w:t>
            </w:r>
          </w:p>
        </w:tc>
        <w:tc>
          <w:tcPr>
            <w:tcW w:w="851" w:type="dxa"/>
            <w:noWrap/>
            <w:vAlign w:val="center"/>
          </w:tcPr>
          <w:p w:rsidR="005A5AC1" w:rsidRPr="005A5AC1" w:rsidRDefault="005A5AC1" w:rsidP="005F7402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1 016,6</w:t>
            </w:r>
          </w:p>
        </w:tc>
        <w:tc>
          <w:tcPr>
            <w:tcW w:w="992" w:type="dxa"/>
            <w:noWrap/>
            <w:vAlign w:val="center"/>
          </w:tcPr>
          <w:p w:rsidR="005A5AC1" w:rsidRPr="000E2D00" w:rsidRDefault="005A5AC1" w:rsidP="005A5AC1">
            <w:pPr>
              <w:jc w:val="right"/>
              <w:rPr>
                <w:b/>
                <w:color w:val="FF0000"/>
                <w:sz w:val="18"/>
                <w:szCs w:val="18"/>
              </w:rPr>
            </w:pPr>
            <w:r w:rsidRPr="000E2D00">
              <w:rPr>
                <w:b/>
                <w:color w:val="FF0000"/>
                <w:sz w:val="18"/>
                <w:szCs w:val="18"/>
              </w:rPr>
              <w:t>31,8</w:t>
            </w:r>
          </w:p>
        </w:tc>
        <w:tc>
          <w:tcPr>
            <w:tcW w:w="958" w:type="dxa"/>
            <w:noWrap/>
            <w:vAlign w:val="center"/>
          </w:tcPr>
          <w:p w:rsidR="005A5AC1" w:rsidRPr="000E2D00" w:rsidRDefault="005A5AC1" w:rsidP="005A5AC1">
            <w:pPr>
              <w:jc w:val="right"/>
              <w:rPr>
                <w:b/>
                <w:color w:val="FF0000"/>
                <w:sz w:val="18"/>
                <w:szCs w:val="18"/>
              </w:rPr>
            </w:pPr>
            <w:r w:rsidRPr="000E2D00">
              <w:rPr>
                <w:b/>
                <w:color w:val="FF0000"/>
                <w:sz w:val="18"/>
                <w:szCs w:val="18"/>
              </w:rPr>
              <w:t>57,6</w:t>
            </w:r>
          </w:p>
        </w:tc>
      </w:tr>
      <w:tr w:rsidR="005A5AC1" w:rsidRPr="005A5AC1" w:rsidTr="005A5AC1">
        <w:trPr>
          <w:trHeight w:val="300"/>
        </w:trPr>
        <w:tc>
          <w:tcPr>
            <w:tcW w:w="2235" w:type="dxa"/>
            <w:vAlign w:val="center"/>
          </w:tcPr>
          <w:p w:rsidR="005A5AC1" w:rsidRPr="005A5AC1" w:rsidRDefault="005A5AC1" w:rsidP="00947CF7">
            <w:pPr>
              <w:pStyle w:val="Odsekzoznamu"/>
              <w:numPr>
                <w:ilvl w:val="0"/>
                <w:numId w:val="1"/>
              </w:numPr>
              <w:ind w:left="170" w:hanging="170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na kratší prac. čas</w:t>
            </w:r>
          </w:p>
        </w:tc>
        <w:tc>
          <w:tcPr>
            <w:tcW w:w="850" w:type="dxa"/>
            <w:noWrap/>
            <w:vAlign w:val="center"/>
          </w:tcPr>
          <w:p w:rsidR="005A5AC1" w:rsidRPr="005A5AC1" w:rsidRDefault="005A5AC1" w:rsidP="005A5AC1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28,5</w:t>
            </w:r>
          </w:p>
        </w:tc>
        <w:tc>
          <w:tcPr>
            <w:tcW w:w="851" w:type="dxa"/>
            <w:noWrap/>
            <w:vAlign w:val="center"/>
          </w:tcPr>
          <w:p w:rsidR="005A5AC1" w:rsidRPr="005A5AC1" w:rsidRDefault="005A5AC1" w:rsidP="005A5AC1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33,1</w:t>
            </w:r>
          </w:p>
        </w:tc>
        <w:tc>
          <w:tcPr>
            <w:tcW w:w="850" w:type="dxa"/>
            <w:noWrap/>
            <w:vAlign w:val="center"/>
          </w:tcPr>
          <w:p w:rsidR="005A5AC1" w:rsidRPr="005A5AC1" w:rsidRDefault="005A5AC1" w:rsidP="005A5AC1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33,3</w:t>
            </w:r>
          </w:p>
        </w:tc>
        <w:tc>
          <w:tcPr>
            <w:tcW w:w="851" w:type="dxa"/>
            <w:noWrap/>
            <w:vAlign w:val="center"/>
          </w:tcPr>
          <w:p w:rsidR="005A5AC1" w:rsidRPr="005A5AC1" w:rsidRDefault="005A5AC1" w:rsidP="005A5AC1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38,3</w:t>
            </w:r>
          </w:p>
        </w:tc>
        <w:tc>
          <w:tcPr>
            <w:tcW w:w="850" w:type="dxa"/>
            <w:noWrap/>
            <w:vAlign w:val="center"/>
          </w:tcPr>
          <w:p w:rsidR="005A5AC1" w:rsidRPr="005A5AC1" w:rsidRDefault="005A5AC1" w:rsidP="005A5AC1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41,3</w:t>
            </w:r>
          </w:p>
        </w:tc>
        <w:tc>
          <w:tcPr>
            <w:tcW w:w="851" w:type="dxa"/>
            <w:noWrap/>
            <w:vAlign w:val="center"/>
          </w:tcPr>
          <w:p w:rsidR="005A5AC1" w:rsidRPr="005A5AC1" w:rsidRDefault="005A5AC1" w:rsidP="005A5AC1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56,8</w:t>
            </w:r>
          </w:p>
        </w:tc>
        <w:tc>
          <w:tcPr>
            <w:tcW w:w="992" w:type="dxa"/>
            <w:noWrap/>
            <w:vAlign w:val="center"/>
          </w:tcPr>
          <w:p w:rsidR="005A5AC1" w:rsidRPr="000E2D00" w:rsidRDefault="005A5AC1" w:rsidP="005A5AC1">
            <w:pPr>
              <w:jc w:val="right"/>
              <w:rPr>
                <w:b/>
                <w:color w:val="FF0000"/>
                <w:sz w:val="18"/>
                <w:szCs w:val="18"/>
              </w:rPr>
            </w:pPr>
            <w:r w:rsidRPr="000E2D00">
              <w:rPr>
                <w:b/>
                <w:color w:val="FF0000"/>
                <w:sz w:val="18"/>
                <w:szCs w:val="18"/>
              </w:rPr>
              <w:t>15,5</w:t>
            </w:r>
          </w:p>
        </w:tc>
        <w:tc>
          <w:tcPr>
            <w:tcW w:w="958" w:type="dxa"/>
            <w:noWrap/>
            <w:vAlign w:val="center"/>
          </w:tcPr>
          <w:p w:rsidR="005A5AC1" w:rsidRPr="000E2D00" w:rsidRDefault="005A5AC1" w:rsidP="005A5AC1">
            <w:pPr>
              <w:jc w:val="right"/>
              <w:rPr>
                <w:b/>
                <w:color w:val="FF0000"/>
                <w:sz w:val="18"/>
                <w:szCs w:val="18"/>
              </w:rPr>
            </w:pPr>
            <w:r w:rsidRPr="000E2D00">
              <w:rPr>
                <w:b/>
                <w:color w:val="FF0000"/>
                <w:sz w:val="18"/>
                <w:szCs w:val="18"/>
              </w:rPr>
              <w:t>28,3</w:t>
            </w:r>
          </w:p>
        </w:tc>
      </w:tr>
      <w:tr w:rsidR="005A5AC1" w:rsidRPr="005A5AC1" w:rsidTr="005A5AC1">
        <w:trPr>
          <w:trHeight w:val="300"/>
        </w:trPr>
        <w:tc>
          <w:tcPr>
            <w:tcW w:w="2235" w:type="dxa"/>
            <w:vAlign w:val="center"/>
          </w:tcPr>
          <w:p w:rsidR="005A5AC1" w:rsidRPr="005A5AC1" w:rsidRDefault="005A5AC1" w:rsidP="00947CF7">
            <w:pPr>
              <w:pStyle w:val="Odsekzoznamu"/>
              <w:numPr>
                <w:ilvl w:val="0"/>
                <w:numId w:val="1"/>
              </w:numPr>
              <w:ind w:left="170" w:hanging="170"/>
              <w:rPr>
                <w:color w:val="000000"/>
                <w:sz w:val="18"/>
                <w:szCs w:val="18"/>
              </w:rPr>
            </w:pPr>
            <w:proofErr w:type="spellStart"/>
            <w:r w:rsidRPr="005A5AC1">
              <w:rPr>
                <w:color w:val="000000"/>
                <w:sz w:val="18"/>
                <w:szCs w:val="18"/>
              </w:rPr>
              <w:t>podzamestnaní</w:t>
            </w:r>
            <w:proofErr w:type="spellEnd"/>
            <w:r w:rsidRPr="005A5AC1">
              <w:rPr>
                <w:color w:val="000000"/>
                <w:sz w:val="18"/>
                <w:szCs w:val="18"/>
              </w:rPr>
              <w:t xml:space="preserve"> (od r. 2011)</w:t>
            </w:r>
          </w:p>
        </w:tc>
        <w:tc>
          <w:tcPr>
            <w:tcW w:w="850" w:type="dxa"/>
            <w:noWrap/>
            <w:vAlign w:val="center"/>
          </w:tcPr>
          <w:p w:rsidR="005A5AC1" w:rsidRPr="005A5AC1" w:rsidRDefault="000E2D00" w:rsidP="005A5AC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noWrap/>
            <w:vAlign w:val="center"/>
          </w:tcPr>
          <w:p w:rsidR="005A5AC1" w:rsidRPr="00607EE9" w:rsidRDefault="00DC01FE" w:rsidP="005A5AC1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16,6</w:t>
            </w:r>
          </w:p>
        </w:tc>
        <w:tc>
          <w:tcPr>
            <w:tcW w:w="850" w:type="dxa"/>
            <w:noWrap/>
            <w:vAlign w:val="center"/>
          </w:tcPr>
          <w:p w:rsidR="005A5AC1" w:rsidRPr="005A5AC1" w:rsidRDefault="005A5AC1" w:rsidP="005A5AC1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17,9 </w:t>
            </w:r>
          </w:p>
        </w:tc>
        <w:tc>
          <w:tcPr>
            <w:tcW w:w="851" w:type="dxa"/>
            <w:noWrap/>
            <w:vAlign w:val="center"/>
          </w:tcPr>
          <w:p w:rsidR="005A5AC1" w:rsidRPr="00607EE9" w:rsidRDefault="005A5AC1" w:rsidP="005A5AC1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5A5AC1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21,6</w:t>
            </w:r>
          </w:p>
        </w:tc>
        <w:tc>
          <w:tcPr>
            <w:tcW w:w="850" w:type="dxa"/>
            <w:noWrap/>
            <w:vAlign w:val="center"/>
          </w:tcPr>
          <w:p w:rsidR="005A5AC1" w:rsidRPr="00607EE9" w:rsidRDefault="005A5AC1" w:rsidP="005A5AC1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5A5AC1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18,3</w:t>
            </w:r>
          </w:p>
        </w:tc>
        <w:tc>
          <w:tcPr>
            <w:tcW w:w="851" w:type="dxa"/>
            <w:noWrap/>
            <w:vAlign w:val="center"/>
          </w:tcPr>
          <w:p w:rsidR="005A5AC1" w:rsidRPr="00607EE9" w:rsidRDefault="005A5AC1" w:rsidP="005A5AC1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5A5AC1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30,8</w:t>
            </w:r>
          </w:p>
        </w:tc>
        <w:tc>
          <w:tcPr>
            <w:tcW w:w="992" w:type="dxa"/>
            <w:noWrap/>
            <w:vAlign w:val="center"/>
          </w:tcPr>
          <w:p w:rsidR="005A5AC1" w:rsidRPr="00CD7BF6" w:rsidRDefault="005A5AC1" w:rsidP="005A5AC1">
            <w:pPr>
              <w:jc w:val="right"/>
              <w:rPr>
                <w:rFonts w:eastAsia="Times New Roman" w:cs="Times New Roman"/>
                <w:b/>
                <w:color w:val="000000"/>
                <w:sz w:val="18"/>
                <w:szCs w:val="18"/>
                <w:lang w:val="en-US"/>
              </w:rPr>
            </w:pPr>
            <w:r w:rsidRPr="00CD7BF6">
              <w:rPr>
                <w:rFonts w:eastAsia="Times New Roman" w:cs="Times New Roman"/>
                <w:b/>
                <w:color w:val="FF0000"/>
                <w:sz w:val="18"/>
                <w:szCs w:val="18"/>
                <w:lang w:val="en-US"/>
              </w:rPr>
              <w:t>12,5</w:t>
            </w:r>
          </w:p>
        </w:tc>
        <w:tc>
          <w:tcPr>
            <w:tcW w:w="958" w:type="dxa"/>
            <w:noWrap/>
            <w:vAlign w:val="center"/>
          </w:tcPr>
          <w:p w:rsidR="005A5AC1" w:rsidRPr="00607EE9" w:rsidRDefault="000E2D00" w:rsidP="005A5AC1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-</w:t>
            </w:r>
          </w:p>
        </w:tc>
      </w:tr>
      <w:tr w:rsidR="005A5AC1" w:rsidRPr="005A5AC1" w:rsidTr="005A5AC1">
        <w:trPr>
          <w:trHeight w:val="300"/>
        </w:trPr>
        <w:tc>
          <w:tcPr>
            <w:tcW w:w="2235" w:type="dxa"/>
            <w:vAlign w:val="center"/>
          </w:tcPr>
          <w:p w:rsidR="005A5AC1" w:rsidRPr="005A5AC1" w:rsidRDefault="005A5AC1" w:rsidP="00947CF7">
            <w:pPr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Zamestnanci</w:t>
            </w:r>
          </w:p>
        </w:tc>
        <w:tc>
          <w:tcPr>
            <w:tcW w:w="850" w:type="dxa"/>
            <w:noWrap/>
            <w:vAlign w:val="center"/>
          </w:tcPr>
          <w:p w:rsidR="005A5AC1" w:rsidRPr="005A5AC1" w:rsidRDefault="005A5AC1" w:rsidP="00947CF7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987,5</w:t>
            </w:r>
          </w:p>
        </w:tc>
        <w:tc>
          <w:tcPr>
            <w:tcW w:w="851" w:type="dxa"/>
            <w:noWrap/>
            <w:vAlign w:val="center"/>
          </w:tcPr>
          <w:p w:rsidR="005A5AC1" w:rsidRPr="005A5AC1" w:rsidRDefault="005A5AC1" w:rsidP="00947CF7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1 004,9</w:t>
            </w:r>
          </w:p>
        </w:tc>
        <w:tc>
          <w:tcPr>
            <w:tcW w:w="850" w:type="dxa"/>
            <w:noWrap/>
            <w:vAlign w:val="center"/>
          </w:tcPr>
          <w:p w:rsidR="005A5AC1" w:rsidRPr="005A5AC1" w:rsidRDefault="005A5AC1" w:rsidP="00947CF7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1 040,6</w:t>
            </w:r>
          </w:p>
        </w:tc>
        <w:tc>
          <w:tcPr>
            <w:tcW w:w="851" w:type="dxa"/>
            <w:noWrap/>
            <w:vAlign w:val="center"/>
          </w:tcPr>
          <w:p w:rsidR="005A5AC1" w:rsidRPr="005A5AC1" w:rsidRDefault="005A5AC1" w:rsidP="005F7402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1 036,8</w:t>
            </w:r>
          </w:p>
        </w:tc>
        <w:tc>
          <w:tcPr>
            <w:tcW w:w="850" w:type="dxa"/>
            <w:noWrap/>
            <w:vAlign w:val="center"/>
          </w:tcPr>
          <w:p w:rsidR="005A5AC1" w:rsidRPr="005A5AC1" w:rsidRDefault="005A5AC1" w:rsidP="005F7402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1 026,0</w:t>
            </w:r>
          </w:p>
        </w:tc>
        <w:tc>
          <w:tcPr>
            <w:tcW w:w="851" w:type="dxa"/>
            <w:noWrap/>
            <w:vAlign w:val="center"/>
          </w:tcPr>
          <w:p w:rsidR="005A5AC1" w:rsidRPr="005A5AC1" w:rsidRDefault="005A5AC1" w:rsidP="005F7402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1 073,6</w:t>
            </w:r>
          </w:p>
        </w:tc>
        <w:tc>
          <w:tcPr>
            <w:tcW w:w="992" w:type="dxa"/>
            <w:noWrap/>
            <w:vAlign w:val="center"/>
          </w:tcPr>
          <w:p w:rsidR="005A5AC1" w:rsidRPr="005A5AC1" w:rsidRDefault="005A5AC1" w:rsidP="00947CF7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47,6</w:t>
            </w:r>
          </w:p>
        </w:tc>
        <w:tc>
          <w:tcPr>
            <w:tcW w:w="958" w:type="dxa"/>
            <w:noWrap/>
            <w:vAlign w:val="center"/>
          </w:tcPr>
          <w:p w:rsidR="005A5AC1" w:rsidRPr="005A5AC1" w:rsidRDefault="005A5AC1" w:rsidP="00947CF7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86,1</w:t>
            </w:r>
          </w:p>
        </w:tc>
      </w:tr>
      <w:tr w:rsidR="005A5AC1" w:rsidRPr="005A5AC1" w:rsidTr="005A5AC1">
        <w:trPr>
          <w:trHeight w:val="300"/>
        </w:trPr>
        <w:tc>
          <w:tcPr>
            <w:tcW w:w="2235" w:type="dxa"/>
            <w:vAlign w:val="center"/>
          </w:tcPr>
          <w:p w:rsidR="005A5AC1" w:rsidRPr="005A5AC1" w:rsidRDefault="005A5AC1" w:rsidP="00947CF7">
            <w:pPr>
              <w:pStyle w:val="Odsekzoznamu"/>
              <w:numPr>
                <w:ilvl w:val="0"/>
                <w:numId w:val="1"/>
              </w:numPr>
              <w:ind w:left="170" w:hanging="170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práca stála</w:t>
            </w:r>
          </w:p>
        </w:tc>
        <w:tc>
          <w:tcPr>
            <w:tcW w:w="850" w:type="dxa"/>
            <w:noWrap/>
            <w:vAlign w:val="center"/>
          </w:tcPr>
          <w:p w:rsidR="005A5AC1" w:rsidRPr="005A5AC1" w:rsidRDefault="005A5AC1" w:rsidP="005A5AC1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944,4</w:t>
            </w:r>
          </w:p>
        </w:tc>
        <w:tc>
          <w:tcPr>
            <w:tcW w:w="851" w:type="dxa"/>
            <w:noWrap/>
            <w:vAlign w:val="center"/>
          </w:tcPr>
          <w:p w:rsidR="005A5AC1" w:rsidRPr="005A5AC1" w:rsidRDefault="005A5AC1" w:rsidP="005A5AC1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947</w:t>
            </w:r>
            <w:r w:rsidR="005F7402">
              <w:rPr>
                <w:color w:val="000000"/>
                <w:sz w:val="18"/>
                <w:szCs w:val="18"/>
              </w:rPr>
              <w:t>,0</w:t>
            </w:r>
          </w:p>
        </w:tc>
        <w:tc>
          <w:tcPr>
            <w:tcW w:w="850" w:type="dxa"/>
            <w:noWrap/>
            <w:vAlign w:val="center"/>
          </w:tcPr>
          <w:p w:rsidR="005A5AC1" w:rsidRPr="005A5AC1" w:rsidRDefault="005A5AC1" w:rsidP="005A5AC1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971,7</w:t>
            </w:r>
          </w:p>
        </w:tc>
        <w:tc>
          <w:tcPr>
            <w:tcW w:w="851" w:type="dxa"/>
            <w:noWrap/>
            <w:vAlign w:val="center"/>
          </w:tcPr>
          <w:p w:rsidR="005A5AC1" w:rsidRPr="005A5AC1" w:rsidRDefault="005A5AC1" w:rsidP="005A5AC1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972,6</w:t>
            </w:r>
          </w:p>
        </w:tc>
        <w:tc>
          <w:tcPr>
            <w:tcW w:w="850" w:type="dxa"/>
            <w:noWrap/>
            <w:vAlign w:val="center"/>
          </w:tcPr>
          <w:p w:rsidR="005A5AC1" w:rsidRPr="005A5AC1" w:rsidRDefault="005A5AC1" w:rsidP="005A5AC1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948,5</w:t>
            </w:r>
          </w:p>
        </w:tc>
        <w:tc>
          <w:tcPr>
            <w:tcW w:w="851" w:type="dxa"/>
            <w:noWrap/>
            <w:vAlign w:val="center"/>
          </w:tcPr>
          <w:p w:rsidR="005A5AC1" w:rsidRPr="005A5AC1" w:rsidRDefault="005A5AC1" w:rsidP="005A5AC1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970,7</w:t>
            </w:r>
          </w:p>
        </w:tc>
        <w:tc>
          <w:tcPr>
            <w:tcW w:w="992" w:type="dxa"/>
            <w:noWrap/>
            <w:vAlign w:val="center"/>
          </w:tcPr>
          <w:p w:rsidR="005A5AC1" w:rsidRPr="005A5AC1" w:rsidRDefault="005A5AC1" w:rsidP="005A5AC1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22,2</w:t>
            </w:r>
          </w:p>
        </w:tc>
        <w:tc>
          <w:tcPr>
            <w:tcW w:w="958" w:type="dxa"/>
            <w:noWrap/>
            <w:vAlign w:val="center"/>
          </w:tcPr>
          <w:p w:rsidR="005A5AC1" w:rsidRPr="005A5AC1" w:rsidRDefault="005A5AC1" w:rsidP="005A5AC1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26,3</w:t>
            </w:r>
          </w:p>
        </w:tc>
      </w:tr>
      <w:tr w:rsidR="005A5AC1" w:rsidRPr="005A5AC1" w:rsidTr="005A5AC1">
        <w:trPr>
          <w:trHeight w:val="300"/>
        </w:trPr>
        <w:tc>
          <w:tcPr>
            <w:tcW w:w="2235" w:type="dxa"/>
            <w:vAlign w:val="center"/>
          </w:tcPr>
          <w:p w:rsidR="005A5AC1" w:rsidRPr="005A5AC1" w:rsidRDefault="005A5AC1" w:rsidP="00947CF7">
            <w:pPr>
              <w:pStyle w:val="Odsekzoznamu"/>
              <w:numPr>
                <w:ilvl w:val="0"/>
                <w:numId w:val="1"/>
              </w:numPr>
              <w:ind w:left="170" w:hanging="170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práca dočasná, príležitostná, sezónna</w:t>
            </w:r>
          </w:p>
        </w:tc>
        <w:tc>
          <w:tcPr>
            <w:tcW w:w="850" w:type="dxa"/>
            <w:noWrap/>
            <w:vAlign w:val="center"/>
          </w:tcPr>
          <w:p w:rsidR="005A5AC1" w:rsidRPr="005A5AC1" w:rsidRDefault="005A5AC1" w:rsidP="005A5AC1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43,1</w:t>
            </w:r>
          </w:p>
        </w:tc>
        <w:tc>
          <w:tcPr>
            <w:tcW w:w="851" w:type="dxa"/>
            <w:noWrap/>
            <w:vAlign w:val="center"/>
          </w:tcPr>
          <w:p w:rsidR="005A5AC1" w:rsidRPr="005A5AC1" w:rsidRDefault="005A5AC1" w:rsidP="005A5AC1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57,9</w:t>
            </w:r>
          </w:p>
        </w:tc>
        <w:tc>
          <w:tcPr>
            <w:tcW w:w="850" w:type="dxa"/>
            <w:noWrap/>
            <w:vAlign w:val="center"/>
          </w:tcPr>
          <w:p w:rsidR="005A5AC1" w:rsidRPr="005A5AC1" w:rsidRDefault="005A5AC1" w:rsidP="005A5AC1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68,8</w:t>
            </w:r>
          </w:p>
        </w:tc>
        <w:tc>
          <w:tcPr>
            <w:tcW w:w="851" w:type="dxa"/>
            <w:noWrap/>
            <w:vAlign w:val="center"/>
          </w:tcPr>
          <w:p w:rsidR="005A5AC1" w:rsidRPr="005A5AC1" w:rsidRDefault="005A5AC1" w:rsidP="005A5AC1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64,3</w:t>
            </w:r>
          </w:p>
        </w:tc>
        <w:tc>
          <w:tcPr>
            <w:tcW w:w="850" w:type="dxa"/>
            <w:noWrap/>
            <w:vAlign w:val="center"/>
          </w:tcPr>
          <w:p w:rsidR="005A5AC1" w:rsidRPr="005A5AC1" w:rsidRDefault="005A5AC1" w:rsidP="005A5AC1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77,5</w:t>
            </w:r>
          </w:p>
        </w:tc>
        <w:tc>
          <w:tcPr>
            <w:tcW w:w="851" w:type="dxa"/>
            <w:noWrap/>
            <w:vAlign w:val="center"/>
          </w:tcPr>
          <w:p w:rsidR="005A5AC1" w:rsidRPr="005A5AC1" w:rsidRDefault="005A5AC1" w:rsidP="005A5AC1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102,9</w:t>
            </w:r>
          </w:p>
        </w:tc>
        <w:tc>
          <w:tcPr>
            <w:tcW w:w="992" w:type="dxa"/>
            <w:noWrap/>
            <w:vAlign w:val="center"/>
          </w:tcPr>
          <w:p w:rsidR="005A5AC1" w:rsidRPr="005A5AC1" w:rsidRDefault="005A5AC1" w:rsidP="005A5AC1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958" w:type="dxa"/>
            <w:noWrap/>
            <w:vAlign w:val="center"/>
          </w:tcPr>
          <w:p w:rsidR="005A5AC1" w:rsidRPr="005A5AC1" w:rsidRDefault="005A5AC1" w:rsidP="005A5AC1">
            <w:pPr>
              <w:jc w:val="right"/>
              <w:rPr>
                <w:color w:val="000000"/>
                <w:sz w:val="18"/>
                <w:szCs w:val="18"/>
              </w:rPr>
            </w:pPr>
            <w:r w:rsidRPr="005A5AC1">
              <w:rPr>
                <w:color w:val="000000"/>
                <w:sz w:val="18"/>
                <w:szCs w:val="18"/>
              </w:rPr>
              <w:t>59,8</w:t>
            </w:r>
          </w:p>
        </w:tc>
      </w:tr>
    </w:tbl>
    <w:p w:rsidR="00BF5F3B" w:rsidRDefault="00BF5F3B" w:rsidP="00BF5F3B">
      <w:pPr>
        <w:tabs>
          <w:tab w:val="left" w:pos="1035"/>
        </w:tabs>
        <w:spacing w:after="0"/>
        <w:rPr>
          <w:rFonts w:cs="Times New Roman"/>
        </w:rPr>
      </w:pPr>
      <w:r>
        <w:rPr>
          <w:rFonts w:cs="Times New Roman"/>
        </w:rPr>
        <w:t>Zdroj: ŠÚ SR</w:t>
      </w:r>
    </w:p>
    <w:p w:rsidR="00BF5F3B" w:rsidRDefault="00BF5F3B" w:rsidP="00CE0E46">
      <w:pPr>
        <w:rPr>
          <w:rFonts w:cs="Times New Roman"/>
        </w:rPr>
      </w:pPr>
    </w:p>
    <w:p w:rsidR="00BF5F3B" w:rsidRDefault="00BF5F3B" w:rsidP="00BF5F3B">
      <w:pPr>
        <w:spacing w:after="0"/>
        <w:rPr>
          <w:rFonts w:cs="Times New Roman"/>
        </w:rPr>
      </w:pPr>
      <w:r>
        <w:rPr>
          <w:rFonts w:cs="Times New Roman"/>
        </w:rPr>
        <w:t>Tabuľka</w:t>
      </w:r>
      <w:r w:rsidR="004D7B40">
        <w:rPr>
          <w:rFonts w:cs="Times New Roman"/>
        </w:rPr>
        <w:t xml:space="preserve"> 3</w:t>
      </w:r>
      <w:r>
        <w:rPr>
          <w:rFonts w:cs="Times New Roman"/>
        </w:rPr>
        <w:t>: Zamestnanci podľa typu pracovného času (ženy, v tis. osobách)</w:t>
      </w:r>
    </w:p>
    <w:tbl>
      <w:tblPr>
        <w:tblStyle w:val="Mriekatabuky"/>
        <w:tblW w:w="9288" w:type="dxa"/>
        <w:tblLayout w:type="fixed"/>
        <w:tblLook w:val="04A0" w:firstRow="1" w:lastRow="0" w:firstColumn="1" w:lastColumn="0" w:noHBand="0" w:noVBand="1"/>
      </w:tblPr>
      <w:tblGrid>
        <w:gridCol w:w="2235"/>
        <w:gridCol w:w="850"/>
        <w:gridCol w:w="851"/>
        <w:gridCol w:w="850"/>
        <w:gridCol w:w="851"/>
        <w:gridCol w:w="850"/>
        <w:gridCol w:w="851"/>
        <w:gridCol w:w="992"/>
        <w:gridCol w:w="958"/>
      </w:tblGrid>
      <w:tr w:rsidR="00BF5F3B" w:rsidRPr="00DC01FE" w:rsidTr="00DC01FE">
        <w:trPr>
          <w:trHeight w:val="448"/>
        </w:trPr>
        <w:tc>
          <w:tcPr>
            <w:tcW w:w="2235" w:type="dxa"/>
          </w:tcPr>
          <w:p w:rsidR="00BF5F3B" w:rsidRPr="00DC01FE" w:rsidRDefault="00BF5F3B" w:rsidP="00947CF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vAlign w:val="center"/>
            <w:hideMark/>
          </w:tcPr>
          <w:p w:rsidR="00BF5F3B" w:rsidRPr="00607EE9" w:rsidRDefault="00BF5F3B" w:rsidP="00DC01FE">
            <w:pPr>
              <w:jc w:val="righ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2010Q1</w:t>
            </w:r>
          </w:p>
        </w:tc>
        <w:tc>
          <w:tcPr>
            <w:tcW w:w="851" w:type="dxa"/>
            <w:vAlign w:val="center"/>
            <w:hideMark/>
          </w:tcPr>
          <w:p w:rsidR="00BF5F3B" w:rsidRPr="00607EE9" w:rsidRDefault="00BF5F3B" w:rsidP="00DC01FE">
            <w:pPr>
              <w:jc w:val="righ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2011Q1</w:t>
            </w:r>
          </w:p>
        </w:tc>
        <w:tc>
          <w:tcPr>
            <w:tcW w:w="850" w:type="dxa"/>
            <w:vAlign w:val="center"/>
            <w:hideMark/>
          </w:tcPr>
          <w:p w:rsidR="00BF5F3B" w:rsidRPr="00607EE9" w:rsidRDefault="00BF5F3B" w:rsidP="00DC01FE">
            <w:pPr>
              <w:jc w:val="righ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2012Q1</w:t>
            </w:r>
          </w:p>
        </w:tc>
        <w:tc>
          <w:tcPr>
            <w:tcW w:w="851" w:type="dxa"/>
            <w:vAlign w:val="center"/>
            <w:hideMark/>
          </w:tcPr>
          <w:p w:rsidR="00BF5F3B" w:rsidRPr="00607EE9" w:rsidRDefault="00BF5F3B" w:rsidP="00DC01FE">
            <w:pPr>
              <w:jc w:val="righ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2013Q1</w:t>
            </w:r>
          </w:p>
        </w:tc>
        <w:tc>
          <w:tcPr>
            <w:tcW w:w="850" w:type="dxa"/>
            <w:vAlign w:val="center"/>
            <w:hideMark/>
          </w:tcPr>
          <w:p w:rsidR="00BF5F3B" w:rsidRPr="00607EE9" w:rsidRDefault="00BF5F3B" w:rsidP="00DC01FE">
            <w:pPr>
              <w:jc w:val="righ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2014Q1</w:t>
            </w:r>
          </w:p>
        </w:tc>
        <w:tc>
          <w:tcPr>
            <w:tcW w:w="851" w:type="dxa"/>
            <w:vAlign w:val="center"/>
            <w:hideMark/>
          </w:tcPr>
          <w:p w:rsidR="00BF5F3B" w:rsidRPr="00607EE9" w:rsidRDefault="00BF5F3B" w:rsidP="00DC01FE">
            <w:pPr>
              <w:jc w:val="righ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2015Q1</w:t>
            </w:r>
          </w:p>
        </w:tc>
        <w:tc>
          <w:tcPr>
            <w:tcW w:w="992" w:type="dxa"/>
            <w:vAlign w:val="center"/>
            <w:hideMark/>
          </w:tcPr>
          <w:p w:rsidR="00BF5F3B" w:rsidRPr="00607EE9" w:rsidRDefault="00BF5F3B" w:rsidP="00DC01FE">
            <w:pPr>
              <w:jc w:val="righ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2015Q1/</w:t>
            </w:r>
            <w:r w:rsidRPr="00DC01FE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607EE9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201</w:t>
            </w:r>
            <w:r w:rsidRPr="00DC01FE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4</w:t>
            </w:r>
            <w:r w:rsidRPr="00607EE9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Q</w:t>
            </w:r>
            <w:r w:rsidRPr="00DC01FE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958" w:type="dxa"/>
            <w:vAlign w:val="center"/>
            <w:hideMark/>
          </w:tcPr>
          <w:p w:rsidR="00BF5F3B" w:rsidRPr="00607EE9" w:rsidRDefault="00BF5F3B" w:rsidP="00DC01FE">
            <w:pPr>
              <w:jc w:val="righ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607EE9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2015Q1/</w:t>
            </w:r>
            <w:r w:rsidRPr="00DC01FE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607EE9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  <w:t>2010Q1</w:t>
            </w:r>
          </w:p>
        </w:tc>
      </w:tr>
      <w:tr w:rsidR="00DC01FE" w:rsidRPr="00DC01FE" w:rsidTr="00DC01FE">
        <w:trPr>
          <w:trHeight w:val="300"/>
        </w:trPr>
        <w:tc>
          <w:tcPr>
            <w:tcW w:w="2235" w:type="dxa"/>
            <w:vAlign w:val="center"/>
          </w:tcPr>
          <w:p w:rsidR="00DC01FE" w:rsidRPr="00DC01FE" w:rsidRDefault="00DC01FE" w:rsidP="00947CF7">
            <w:pPr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Zamestnanci</w:t>
            </w:r>
          </w:p>
        </w:tc>
        <w:tc>
          <w:tcPr>
            <w:tcW w:w="850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919,4</w:t>
            </w:r>
          </w:p>
        </w:tc>
        <w:tc>
          <w:tcPr>
            <w:tcW w:w="851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920,5</w:t>
            </w:r>
          </w:p>
        </w:tc>
        <w:tc>
          <w:tcPr>
            <w:tcW w:w="850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923,7</w:t>
            </w:r>
          </w:p>
        </w:tc>
        <w:tc>
          <w:tcPr>
            <w:tcW w:w="851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926,9</w:t>
            </w:r>
          </w:p>
        </w:tc>
        <w:tc>
          <w:tcPr>
            <w:tcW w:w="850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942,0</w:t>
            </w:r>
          </w:p>
        </w:tc>
        <w:tc>
          <w:tcPr>
            <w:tcW w:w="851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955,1</w:t>
            </w:r>
          </w:p>
        </w:tc>
        <w:tc>
          <w:tcPr>
            <w:tcW w:w="992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13,1</w:t>
            </w:r>
          </w:p>
        </w:tc>
        <w:tc>
          <w:tcPr>
            <w:tcW w:w="958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35,7</w:t>
            </w:r>
          </w:p>
        </w:tc>
      </w:tr>
      <w:tr w:rsidR="00DC01FE" w:rsidRPr="00DC01FE" w:rsidTr="00DC01FE">
        <w:trPr>
          <w:trHeight w:val="300"/>
        </w:trPr>
        <w:tc>
          <w:tcPr>
            <w:tcW w:w="2235" w:type="dxa"/>
            <w:vAlign w:val="center"/>
          </w:tcPr>
          <w:p w:rsidR="00DC01FE" w:rsidRPr="00DC01FE" w:rsidRDefault="00DC01FE" w:rsidP="00947CF7">
            <w:pPr>
              <w:pStyle w:val="Odsekzoznamu"/>
              <w:numPr>
                <w:ilvl w:val="0"/>
                <w:numId w:val="1"/>
              </w:numPr>
              <w:ind w:left="170" w:hanging="170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na plný prac. čas</w:t>
            </w:r>
          </w:p>
        </w:tc>
        <w:tc>
          <w:tcPr>
            <w:tcW w:w="850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874,7</w:t>
            </w:r>
          </w:p>
        </w:tc>
        <w:tc>
          <w:tcPr>
            <w:tcW w:w="851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863,5</w:t>
            </w:r>
          </w:p>
        </w:tc>
        <w:tc>
          <w:tcPr>
            <w:tcW w:w="850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865,9</w:t>
            </w:r>
          </w:p>
        </w:tc>
        <w:tc>
          <w:tcPr>
            <w:tcW w:w="851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864,6</w:t>
            </w:r>
          </w:p>
        </w:tc>
        <w:tc>
          <w:tcPr>
            <w:tcW w:w="850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877,5</w:t>
            </w:r>
          </w:p>
        </w:tc>
        <w:tc>
          <w:tcPr>
            <w:tcW w:w="851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870,7</w:t>
            </w:r>
          </w:p>
        </w:tc>
        <w:tc>
          <w:tcPr>
            <w:tcW w:w="992" w:type="dxa"/>
            <w:noWrap/>
            <w:vAlign w:val="center"/>
          </w:tcPr>
          <w:p w:rsidR="00DC01FE" w:rsidRPr="00CD7BF6" w:rsidRDefault="00DC01FE" w:rsidP="00DC01FE">
            <w:pPr>
              <w:jc w:val="right"/>
              <w:rPr>
                <w:b/>
                <w:color w:val="FF0000"/>
                <w:sz w:val="18"/>
                <w:szCs w:val="18"/>
              </w:rPr>
            </w:pPr>
            <w:r w:rsidRPr="00CD7BF6">
              <w:rPr>
                <w:b/>
                <w:color w:val="FF0000"/>
                <w:sz w:val="18"/>
                <w:szCs w:val="18"/>
              </w:rPr>
              <w:t>-6,8</w:t>
            </w:r>
          </w:p>
        </w:tc>
        <w:tc>
          <w:tcPr>
            <w:tcW w:w="958" w:type="dxa"/>
            <w:noWrap/>
            <w:vAlign w:val="center"/>
          </w:tcPr>
          <w:p w:rsidR="00DC01FE" w:rsidRPr="00CD7BF6" w:rsidRDefault="00DC01FE" w:rsidP="00DC01FE">
            <w:pPr>
              <w:jc w:val="right"/>
              <w:rPr>
                <w:b/>
                <w:color w:val="FF0000"/>
                <w:sz w:val="18"/>
                <w:szCs w:val="18"/>
              </w:rPr>
            </w:pPr>
            <w:r w:rsidRPr="00CD7BF6">
              <w:rPr>
                <w:b/>
                <w:color w:val="FF0000"/>
                <w:sz w:val="18"/>
                <w:szCs w:val="18"/>
              </w:rPr>
              <w:t>-4,0</w:t>
            </w:r>
          </w:p>
        </w:tc>
      </w:tr>
      <w:tr w:rsidR="00DC01FE" w:rsidRPr="00DC01FE" w:rsidTr="00DC01FE">
        <w:trPr>
          <w:trHeight w:val="300"/>
        </w:trPr>
        <w:tc>
          <w:tcPr>
            <w:tcW w:w="2235" w:type="dxa"/>
            <w:vAlign w:val="center"/>
          </w:tcPr>
          <w:p w:rsidR="00DC01FE" w:rsidRPr="00DC01FE" w:rsidRDefault="00DC01FE" w:rsidP="00947CF7">
            <w:pPr>
              <w:pStyle w:val="Odsekzoznamu"/>
              <w:numPr>
                <w:ilvl w:val="0"/>
                <w:numId w:val="1"/>
              </w:numPr>
              <w:ind w:left="170" w:hanging="170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na kratší prac. čas</w:t>
            </w:r>
          </w:p>
        </w:tc>
        <w:tc>
          <w:tcPr>
            <w:tcW w:w="850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44,7</w:t>
            </w:r>
          </w:p>
        </w:tc>
        <w:tc>
          <w:tcPr>
            <w:tcW w:w="851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57</w:t>
            </w:r>
          </w:p>
        </w:tc>
        <w:tc>
          <w:tcPr>
            <w:tcW w:w="850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57,6</w:t>
            </w:r>
          </w:p>
        </w:tc>
        <w:tc>
          <w:tcPr>
            <w:tcW w:w="851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62,0</w:t>
            </w:r>
          </w:p>
        </w:tc>
        <w:tc>
          <w:tcPr>
            <w:tcW w:w="850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64,5</w:t>
            </w:r>
          </w:p>
        </w:tc>
        <w:tc>
          <w:tcPr>
            <w:tcW w:w="851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84,4</w:t>
            </w:r>
          </w:p>
        </w:tc>
        <w:tc>
          <w:tcPr>
            <w:tcW w:w="992" w:type="dxa"/>
            <w:noWrap/>
            <w:vAlign w:val="center"/>
          </w:tcPr>
          <w:p w:rsidR="00DC01FE" w:rsidRPr="00CD7BF6" w:rsidRDefault="00DC01FE" w:rsidP="00DC01FE">
            <w:pPr>
              <w:jc w:val="right"/>
              <w:rPr>
                <w:b/>
                <w:color w:val="FF0000"/>
                <w:sz w:val="18"/>
                <w:szCs w:val="18"/>
              </w:rPr>
            </w:pPr>
            <w:r w:rsidRPr="00CD7BF6">
              <w:rPr>
                <w:b/>
                <w:color w:val="FF0000"/>
                <w:sz w:val="18"/>
                <w:szCs w:val="18"/>
              </w:rPr>
              <w:t>19,9</w:t>
            </w:r>
          </w:p>
        </w:tc>
        <w:tc>
          <w:tcPr>
            <w:tcW w:w="958" w:type="dxa"/>
            <w:noWrap/>
            <w:vAlign w:val="center"/>
          </w:tcPr>
          <w:p w:rsidR="00DC01FE" w:rsidRPr="00CD7BF6" w:rsidRDefault="00DC01FE" w:rsidP="00DC01FE">
            <w:pPr>
              <w:jc w:val="right"/>
              <w:rPr>
                <w:b/>
                <w:color w:val="FF0000"/>
                <w:sz w:val="18"/>
                <w:szCs w:val="18"/>
              </w:rPr>
            </w:pPr>
            <w:r w:rsidRPr="00CD7BF6">
              <w:rPr>
                <w:b/>
                <w:color w:val="FF0000"/>
                <w:sz w:val="18"/>
                <w:szCs w:val="18"/>
              </w:rPr>
              <w:t>39,7</w:t>
            </w:r>
          </w:p>
        </w:tc>
      </w:tr>
      <w:tr w:rsidR="00BF5F3B" w:rsidRPr="00DC01FE" w:rsidTr="00DC01FE">
        <w:trPr>
          <w:trHeight w:val="300"/>
        </w:trPr>
        <w:tc>
          <w:tcPr>
            <w:tcW w:w="2235" w:type="dxa"/>
            <w:vAlign w:val="center"/>
          </w:tcPr>
          <w:p w:rsidR="00BF5F3B" w:rsidRPr="00DC01FE" w:rsidRDefault="00BF5F3B" w:rsidP="00947CF7">
            <w:pPr>
              <w:pStyle w:val="Odsekzoznamu"/>
              <w:numPr>
                <w:ilvl w:val="0"/>
                <w:numId w:val="1"/>
              </w:numPr>
              <w:ind w:left="170" w:hanging="170"/>
              <w:rPr>
                <w:color w:val="000000"/>
                <w:sz w:val="18"/>
                <w:szCs w:val="18"/>
              </w:rPr>
            </w:pPr>
            <w:proofErr w:type="spellStart"/>
            <w:r w:rsidRPr="00DC01FE">
              <w:rPr>
                <w:color w:val="000000"/>
                <w:sz w:val="18"/>
                <w:szCs w:val="18"/>
              </w:rPr>
              <w:t>podzamestnaní</w:t>
            </w:r>
            <w:proofErr w:type="spellEnd"/>
            <w:r w:rsidRPr="00DC01FE">
              <w:rPr>
                <w:color w:val="000000"/>
                <w:sz w:val="18"/>
                <w:szCs w:val="18"/>
              </w:rPr>
              <w:t xml:space="preserve"> (od r. 2011)</w:t>
            </w:r>
          </w:p>
        </w:tc>
        <w:tc>
          <w:tcPr>
            <w:tcW w:w="850" w:type="dxa"/>
            <w:noWrap/>
            <w:vAlign w:val="center"/>
          </w:tcPr>
          <w:p w:rsidR="00BF5F3B" w:rsidRPr="00607EE9" w:rsidRDefault="00DC01FE" w:rsidP="00DC01FE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DC01FE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851" w:type="dxa"/>
            <w:noWrap/>
            <w:vAlign w:val="center"/>
          </w:tcPr>
          <w:p w:rsidR="00BF5F3B" w:rsidRPr="00607EE9" w:rsidRDefault="00DC01FE" w:rsidP="00DC01FE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DC01FE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16,7</w:t>
            </w:r>
          </w:p>
        </w:tc>
        <w:tc>
          <w:tcPr>
            <w:tcW w:w="850" w:type="dxa"/>
            <w:noWrap/>
            <w:vAlign w:val="center"/>
          </w:tcPr>
          <w:p w:rsidR="00BF5F3B" w:rsidRPr="00607EE9" w:rsidRDefault="00DC01FE" w:rsidP="00DC01FE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DC01FE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17,9</w:t>
            </w:r>
          </w:p>
        </w:tc>
        <w:tc>
          <w:tcPr>
            <w:tcW w:w="851" w:type="dxa"/>
            <w:noWrap/>
            <w:vAlign w:val="center"/>
          </w:tcPr>
          <w:p w:rsidR="00BF5F3B" w:rsidRPr="00607EE9" w:rsidRDefault="00DC01FE" w:rsidP="00DC01FE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DC01FE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22,0</w:t>
            </w:r>
          </w:p>
        </w:tc>
        <w:tc>
          <w:tcPr>
            <w:tcW w:w="850" w:type="dxa"/>
            <w:noWrap/>
            <w:vAlign w:val="center"/>
          </w:tcPr>
          <w:p w:rsidR="00BF5F3B" w:rsidRPr="00607EE9" w:rsidRDefault="00DC01FE" w:rsidP="00DC01FE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DC01FE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19,3</w:t>
            </w:r>
          </w:p>
        </w:tc>
        <w:tc>
          <w:tcPr>
            <w:tcW w:w="851" w:type="dxa"/>
            <w:noWrap/>
            <w:vAlign w:val="center"/>
          </w:tcPr>
          <w:p w:rsidR="00BF5F3B" w:rsidRPr="00607EE9" w:rsidRDefault="00DC01FE" w:rsidP="00DC01FE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DC01FE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31,4</w:t>
            </w:r>
          </w:p>
        </w:tc>
        <w:tc>
          <w:tcPr>
            <w:tcW w:w="992" w:type="dxa"/>
            <w:noWrap/>
            <w:vAlign w:val="center"/>
          </w:tcPr>
          <w:p w:rsidR="00BF5F3B" w:rsidRPr="00CD7BF6" w:rsidRDefault="00DC01FE" w:rsidP="00DC01FE">
            <w:pPr>
              <w:jc w:val="right"/>
              <w:rPr>
                <w:rFonts w:eastAsia="Times New Roman" w:cs="Times New Roman"/>
                <w:b/>
                <w:color w:val="000000"/>
                <w:sz w:val="18"/>
                <w:szCs w:val="18"/>
                <w:lang w:val="en-US"/>
              </w:rPr>
            </w:pPr>
            <w:r w:rsidRPr="00CD7BF6">
              <w:rPr>
                <w:rFonts w:eastAsia="Times New Roman" w:cs="Times New Roman"/>
                <w:b/>
                <w:color w:val="FF0000"/>
                <w:sz w:val="18"/>
                <w:szCs w:val="18"/>
                <w:lang w:val="en-US"/>
              </w:rPr>
              <w:t>12,1</w:t>
            </w:r>
          </w:p>
        </w:tc>
        <w:tc>
          <w:tcPr>
            <w:tcW w:w="958" w:type="dxa"/>
            <w:noWrap/>
            <w:vAlign w:val="center"/>
          </w:tcPr>
          <w:p w:rsidR="00BF5F3B" w:rsidRPr="00607EE9" w:rsidRDefault="00DC01FE" w:rsidP="00DC01FE">
            <w:pPr>
              <w:jc w:val="right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DC01FE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-</w:t>
            </w:r>
          </w:p>
        </w:tc>
      </w:tr>
      <w:tr w:rsidR="00DC01FE" w:rsidRPr="00DC01FE" w:rsidTr="00DC01FE">
        <w:trPr>
          <w:trHeight w:val="300"/>
        </w:trPr>
        <w:tc>
          <w:tcPr>
            <w:tcW w:w="2235" w:type="dxa"/>
            <w:vAlign w:val="center"/>
          </w:tcPr>
          <w:p w:rsidR="00DC01FE" w:rsidRPr="00DC01FE" w:rsidRDefault="00DC01FE" w:rsidP="00947CF7">
            <w:pPr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Zamestnanci</w:t>
            </w:r>
          </w:p>
        </w:tc>
        <w:tc>
          <w:tcPr>
            <w:tcW w:w="850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919,4</w:t>
            </w:r>
          </w:p>
        </w:tc>
        <w:tc>
          <w:tcPr>
            <w:tcW w:w="851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920,5</w:t>
            </w:r>
          </w:p>
        </w:tc>
        <w:tc>
          <w:tcPr>
            <w:tcW w:w="850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923,7</w:t>
            </w:r>
          </w:p>
        </w:tc>
        <w:tc>
          <w:tcPr>
            <w:tcW w:w="851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926,9</w:t>
            </w:r>
          </w:p>
        </w:tc>
        <w:tc>
          <w:tcPr>
            <w:tcW w:w="850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942,0</w:t>
            </w:r>
          </w:p>
        </w:tc>
        <w:tc>
          <w:tcPr>
            <w:tcW w:w="851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955,1</w:t>
            </w:r>
          </w:p>
        </w:tc>
        <w:tc>
          <w:tcPr>
            <w:tcW w:w="992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13,1</w:t>
            </w:r>
          </w:p>
        </w:tc>
        <w:tc>
          <w:tcPr>
            <w:tcW w:w="958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35,7</w:t>
            </w:r>
          </w:p>
        </w:tc>
      </w:tr>
      <w:tr w:rsidR="00DC01FE" w:rsidRPr="00DC01FE" w:rsidTr="00DC01FE">
        <w:trPr>
          <w:trHeight w:val="300"/>
        </w:trPr>
        <w:tc>
          <w:tcPr>
            <w:tcW w:w="2235" w:type="dxa"/>
            <w:vAlign w:val="center"/>
          </w:tcPr>
          <w:p w:rsidR="00DC01FE" w:rsidRPr="00DC01FE" w:rsidRDefault="00DC01FE" w:rsidP="00947CF7">
            <w:pPr>
              <w:pStyle w:val="Odsekzoznamu"/>
              <w:numPr>
                <w:ilvl w:val="0"/>
                <w:numId w:val="1"/>
              </w:numPr>
              <w:ind w:left="170" w:hanging="170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práca stála</w:t>
            </w:r>
          </w:p>
        </w:tc>
        <w:tc>
          <w:tcPr>
            <w:tcW w:w="850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876,6</w:t>
            </w:r>
          </w:p>
        </w:tc>
        <w:tc>
          <w:tcPr>
            <w:tcW w:w="851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859,6</w:t>
            </w:r>
          </w:p>
        </w:tc>
        <w:tc>
          <w:tcPr>
            <w:tcW w:w="850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855,4</w:t>
            </w:r>
          </w:p>
        </w:tc>
        <w:tc>
          <w:tcPr>
            <w:tcW w:w="851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859,1</w:t>
            </w:r>
          </w:p>
        </w:tc>
        <w:tc>
          <w:tcPr>
            <w:tcW w:w="850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870,9</w:t>
            </w:r>
          </w:p>
        </w:tc>
        <w:tc>
          <w:tcPr>
            <w:tcW w:w="851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852,4</w:t>
            </w:r>
          </w:p>
        </w:tc>
        <w:tc>
          <w:tcPr>
            <w:tcW w:w="992" w:type="dxa"/>
            <w:noWrap/>
            <w:vAlign w:val="center"/>
          </w:tcPr>
          <w:p w:rsidR="00DC01FE" w:rsidRPr="00CD7BF6" w:rsidRDefault="00DC01FE" w:rsidP="00DC01FE">
            <w:pPr>
              <w:jc w:val="right"/>
              <w:rPr>
                <w:b/>
                <w:color w:val="FF0000"/>
                <w:sz w:val="18"/>
                <w:szCs w:val="18"/>
              </w:rPr>
            </w:pPr>
            <w:r w:rsidRPr="00CD7BF6">
              <w:rPr>
                <w:b/>
                <w:color w:val="FF0000"/>
                <w:sz w:val="18"/>
                <w:szCs w:val="18"/>
              </w:rPr>
              <w:t>-18,5</w:t>
            </w:r>
          </w:p>
        </w:tc>
        <w:tc>
          <w:tcPr>
            <w:tcW w:w="958" w:type="dxa"/>
            <w:noWrap/>
            <w:vAlign w:val="center"/>
          </w:tcPr>
          <w:p w:rsidR="00DC01FE" w:rsidRPr="00CD7BF6" w:rsidRDefault="00DC01FE" w:rsidP="00DC01FE">
            <w:pPr>
              <w:jc w:val="right"/>
              <w:rPr>
                <w:b/>
                <w:color w:val="FF0000"/>
                <w:sz w:val="18"/>
                <w:szCs w:val="18"/>
              </w:rPr>
            </w:pPr>
            <w:r w:rsidRPr="00CD7BF6">
              <w:rPr>
                <w:b/>
                <w:color w:val="FF0000"/>
                <w:sz w:val="18"/>
                <w:szCs w:val="18"/>
              </w:rPr>
              <w:t>-24,2</w:t>
            </w:r>
          </w:p>
        </w:tc>
      </w:tr>
      <w:tr w:rsidR="00DC01FE" w:rsidRPr="00DC01FE" w:rsidTr="00DC01FE">
        <w:trPr>
          <w:trHeight w:val="300"/>
        </w:trPr>
        <w:tc>
          <w:tcPr>
            <w:tcW w:w="2235" w:type="dxa"/>
            <w:vAlign w:val="center"/>
          </w:tcPr>
          <w:p w:rsidR="00DC01FE" w:rsidRPr="00DC01FE" w:rsidRDefault="00DC01FE" w:rsidP="00947CF7">
            <w:pPr>
              <w:pStyle w:val="Odsekzoznamu"/>
              <w:numPr>
                <w:ilvl w:val="0"/>
                <w:numId w:val="1"/>
              </w:numPr>
              <w:ind w:left="170" w:hanging="170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práca dočasná, príležitostná, sezónna</w:t>
            </w:r>
          </w:p>
        </w:tc>
        <w:tc>
          <w:tcPr>
            <w:tcW w:w="850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42,8</w:t>
            </w:r>
          </w:p>
        </w:tc>
        <w:tc>
          <w:tcPr>
            <w:tcW w:w="851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60,9</w:t>
            </w:r>
          </w:p>
        </w:tc>
        <w:tc>
          <w:tcPr>
            <w:tcW w:w="850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68,3</w:t>
            </w:r>
          </w:p>
        </w:tc>
        <w:tc>
          <w:tcPr>
            <w:tcW w:w="851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67,7</w:t>
            </w:r>
          </w:p>
        </w:tc>
        <w:tc>
          <w:tcPr>
            <w:tcW w:w="850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70,9</w:t>
            </w:r>
          </w:p>
        </w:tc>
        <w:tc>
          <w:tcPr>
            <w:tcW w:w="851" w:type="dxa"/>
            <w:noWrap/>
            <w:vAlign w:val="center"/>
          </w:tcPr>
          <w:p w:rsidR="00DC01FE" w:rsidRPr="00DC01FE" w:rsidRDefault="00DC01FE" w:rsidP="00DC01FE">
            <w:pPr>
              <w:jc w:val="right"/>
              <w:rPr>
                <w:color w:val="000000"/>
                <w:sz w:val="18"/>
                <w:szCs w:val="18"/>
              </w:rPr>
            </w:pPr>
            <w:r w:rsidRPr="00DC01FE">
              <w:rPr>
                <w:color w:val="000000"/>
                <w:sz w:val="18"/>
                <w:szCs w:val="18"/>
              </w:rPr>
              <w:t>102,5</w:t>
            </w:r>
          </w:p>
        </w:tc>
        <w:tc>
          <w:tcPr>
            <w:tcW w:w="992" w:type="dxa"/>
            <w:noWrap/>
            <w:vAlign w:val="center"/>
          </w:tcPr>
          <w:p w:rsidR="00DC01FE" w:rsidRPr="00CD7BF6" w:rsidRDefault="00DC01FE" w:rsidP="00DC01FE">
            <w:pPr>
              <w:jc w:val="right"/>
              <w:rPr>
                <w:b/>
                <w:color w:val="FF0000"/>
                <w:sz w:val="18"/>
                <w:szCs w:val="18"/>
              </w:rPr>
            </w:pPr>
            <w:r w:rsidRPr="00CD7BF6">
              <w:rPr>
                <w:b/>
                <w:color w:val="FF0000"/>
                <w:sz w:val="18"/>
                <w:szCs w:val="18"/>
              </w:rPr>
              <w:t>31,6</w:t>
            </w:r>
          </w:p>
        </w:tc>
        <w:tc>
          <w:tcPr>
            <w:tcW w:w="958" w:type="dxa"/>
            <w:noWrap/>
            <w:vAlign w:val="center"/>
          </w:tcPr>
          <w:p w:rsidR="00DC01FE" w:rsidRPr="00CD7BF6" w:rsidRDefault="00DC01FE" w:rsidP="00DC01FE">
            <w:pPr>
              <w:jc w:val="right"/>
              <w:rPr>
                <w:b/>
                <w:color w:val="FF0000"/>
                <w:sz w:val="18"/>
                <w:szCs w:val="18"/>
              </w:rPr>
            </w:pPr>
            <w:r w:rsidRPr="00CD7BF6">
              <w:rPr>
                <w:b/>
                <w:color w:val="FF0000"/>
                <w:sz w:val="18"/>
                <w:szCs w:val="18"/>
              </w:rPr>
              <w:t>59,7</w:t>
            </w:r>
          </w:p>
        </w:tc>
      </w:tr>
    </w:tbl>
    <w:p w:rsidR="00BF5F3B" w:rsidRDefault="00BF5F3B" w:rsidP="00BF5F3B">
      <w:pPr>
        <w:tabs>
          <w:tab w:val="left" w:pos="1035"/>
        </w:tabs>
        <w:spacing w:after="0"/>
        <w:rPr>
          <w:rFonts w:cs="Times New Roman"/>
        </w:rPr>
      </w:pPr>
      <w:r>
        <w:rPr>
          <w:rFonts w:cs="Times New Roman"/>
        </w:rPr>
        <w:t>Zdroj: ŠÚ SR</w:t>
      </w:r>
    </w:p>
    <w:p w:rsidR="00BF5F3B" w:rsidRDefault="00BF5F3B" w:rsidP="00CE0E46">
      <w:pPr>
        <w:rPr>
          <w:rFonts w:cs="Times New Roman"/>
        </w:rPr>
      </w:pPr>
    </w:p>
    <w:p w:rsidR="00380C30" w:rsidRDefault="00380C30">
      <w:pPr>
        <w:rPr>
          <w:rFonts w:cs="Times New Roman"/>
        </w:rPr>
      </w:pPr>
      <w:r>
        <w:rPr>
          <w:rFonts w:cs="Times New Roman"/>
        </w:rPr>
        <w:br w:type="page"/>
      </w:r>
    </w:p>
    <w:p w:rsidR="00A04A04" w:rsidRDefault="00A04A04" w:rsidP="00CE0E46">
      <w:pPr>
        <w:rPr>
          <w:rFonts w:cs="Times New Roman"/>
        </w:rPr>
      </w:pPr>
      <w:r>
        <w:rPr>
          <w:rFonts w:cs="Times New Roman"/>
        </w:rPr>
        <w:lastRenderedPageBreak/>
        <w:t>Poznámky</w:t>
      </w:r>
      <w:r w:rsidR="00CE0E46">
        <w:rPr>
          <w:rFonts w:cs="Times New Roman"/>
        </w:rPr>
        <w:t xml:space="preserve">: </w:t>
      </w:r>
    </w:p>
    <w:p w:rsidR="00380C30" w:rsidRPr="00D2681C" w:rsidRDefault="00380C30" w:rsidP="00A04A04">
      <w:pPr>
        <w:pStyle w:val="Odsekzoznamu"/>
        <w:numPr>
          <w:ilvl w:val="0"/>
          <w:numId w:val="2"/>
        </w:numPr>
      </w:pPr>
      <w:r>
        <w:rPr>
          <w:rFonts w:cs="Times New Roman"/>
        </w:rPr>
        <w:t>Kríza z rokov 2009 a 2010 výrazne znížila počet zamestnancov</w:t>
      </w:r>
      <w:r w:rsidR="0043716E">
        <w:rPr>
          <w:rFonts w:cs="Times New Roman"/>
        </w:rPr>
        <w:t xml:space="preserve"> (o 213,6-tisíc medzi tretím štvrťrokom 2008 a prvým štvrťrokom 2010)</w:t>
      </w:r>
      <w:r w:rsidR="008838DF">
        <w:rPr>
          <w:rFonts w:cs="Times New Roman"/>
        </w:rPr>
        <w:t>, a to predovšetkým tých so stálou prácou</w:t>
      </w:r>
      <w:r w:rsidR="00E23D45">
        <w:rPr>
          <w:rFonts w:cs="Times New Roman"/>
        </w:rPr>
        <w:t xml:space="preserve"> (o 183,2-tisíc)</w:t>
      </w:r>
      <w:r w:rsidR="008838DF">
        <w:rPr>
          <w:rFonts w:cs="Times New Roman"/>
        </w:rPr>
        <w:t>, resp. tých s prácou na plný pracovný čas</w:t>
      </w:r>
      <w:r w:rsidR="00E23D45">
        <w:rPr>
          <w:rFonts w:cs="Times New Roman"/>
        </w:rPr>
        <w:t xml:space="preserve"> (213,2-tisíc)</w:t>
      </w:r>
      <w:r w:rsidR="008838DF">
        <w:rPr>
          <w:rFonts w:cs="Times New Roman"/>
        </w:rPr>
        <w:t>.</w:t>
      </w:r>
      <w:r w:rsidR="00046552">
        <w:rPr>
          <w:rFonts w:cs="Times New Roman"/>
        </w:rPr>
        <w:t xml:space="preserve"> Celkový počet zamestnancov klesol z maxima 2120,5-tisíc v treťom štvrťroku 2008 na minimum </w:t>
      </w:r>
      <w:r w:rsidR="00046552" w:rsidRPr="00A04A04">
        <w:rPr>
          <w:rFonts w:cs="Times New Roman"/>
        </w:rPr>
        <w:t>1906,9-tisíc v prvom štvrťroku 2010</w:t>
      </w:r>
      <w:r w:rsidR="00046552">
        <w:rPr>
          <w:rFonts w:cs="Times New Roman"/>
        </w:rPr>
        <w:t>.</w:t>
      </w:r>
    </w:p>
    <w:p w:rsidR="00A04A04" w:rsidRDefault="00224F18" w:rsidP="00A04A04">
      <w:pPr>
        <w:pStyle w:val="Odsekzoznamu"/>
        <w:numPr>
          <w:ilvl w:val="0"/>
          <w:numId w:val="2"/>
        </w:numPr>
      </w:pPr>
      <w:r w:rsidRPr="00A04A04">
        <w:rPr>
          <w:rFonts w:cs="Times New Roman"/>
        </w:rPr>
        <w:t xml:space="preserve">Počet zamestnancov stúpol </w:t>
      </w:r>
      <w:r w:rsidR="00156537">
        <w:rPr>
          <w:rFonts w:cs="Times New Roman"/>
        </w:rPr>
        <w:t>z</w:t>
      </w:r>
      <w:r w:rsidRPr="00A04A04">
        <w:rPr>
          <w:rFonts w:cs="Times New Roman"/>
        </w:rPr>
        <w:t xml:space="preserve"> pokrízového minima </w:t>
      </w:r>
      <w:r w:rsidR="00156537" w:rsidRPr="00A04A04">
        <w:rPr>
          <w:rFonts w:cs="Times New Roman"/>
        </w:rPr>
        <w:t xml:space="preserve">1906,9-tisíc </w:t>
      </w:r>
      <w:r w:rsidRPr="00A04A04">
        <w:rPr>
          <w:rFonts w:cs="Times New Roman"/>
        </w:rPr>
        <w:t>v prvom štvrťroku 2010 na 2028,7-tisíc v prvom štvrťroku 2015, teda celkovo o 121,8-tisíc</w:t>
      </w:r>
      <w:r w:rsidR="007751B8">
        <w:rPr>
          <w:rFonts w:cs="Times New Roman"/>
        </w:rPr>
        <w:t xml:space="preserve"> (86,1-tisíc mužov a 35,7-tisíc žien)</w:t>
      </w:r>
      <w:r w:rsidRPr="00A04A04">
        <w:rPr>
          <w:rFonts w:cs="Times New Roman"/>
        </w:rPr>
        <w:t xml:space="preserve">. </w:t>
      </w:r>
      <w:r w:rsidRPr="00156537">
        <w:rPr>
          <w:rFonts w:cs="Times New Roman"/>
          <w:b/>
        </w:rPr>
        <w:t xml:space="preserve">Takmer celý </w:t>
      </w:r>
      <w:r w:rsidR="00156537" w:rsidRPr="00156537">
        <w:rPr>
          <w:rFonts w:cs="Times New Roman"/>
          <w:b/>
        </w:rPr>
        <w:t xml:space="preserve">pokrízový </w:t>
      </w:r>
      <w:r w:rsidRPr="00156537">
        <w:rPr>
          <w:rFonts w:cs="Times New Roman"/>
          <w:b/>
        </w:rPr>
        <w:t xml:space="preserve">nárast </w:t>
      </w:r>
      <w:r w:rsidR="00156537" w:rsidRPr="00156537">
        <w:rPr>
          <w:rFonts w:cs="Times New Roman"/>
          <w:b/>
        </w:rPr>
        <w:t xml:space="preserve">počtu zamestnancov </w:t>
      </w:r>
      <w:r w:rsidRPr="00156537">
        <w:rPr>
          <w:rFonts w:cs="Times New Roman"/>
          <w:b/>
        </w:rPr>
        <w:t xml:space="preserve">pripadá na </w:t>
      </w:r>
      <w:r w:rsidR="00CE0E46" w:rsidRPr="00156537">
        <w:rPr>
          <w:b/>
        </w:rPr>
        <w:t>pracujúcich</w:t>
      </w:r>
      <w:r w:rsidRPr="00156537">
        <w:rPr>
          <w:b/>
        </w:rPr>
        <w:t xml:space="preserve">, ktorí </w:t>
      </w:r>
      <w:r w:rsidR="00CE0E46" w:rsidRPr="00156537">
        <w:rPr>
          <w:b/>
        </w:rPr>
        <w:t>vykonávajú dočasnú, príležitostnú a sezónnu prácu</w:t>
      </w:r>
      <w:r w:rsidRPr="00156537">
        <w:rPr>
          <w:b/>
        </w:rPr>
        <w:t xml:space="preserve"> (nárast o 119,5-tisíca).</w:t>
      </w:r>
      <w:r>
        <w:t xml:space="preserve"> </w:t>
      </w:r>
      <w:r w:rsidR="004E7C2A">
        <w:t>P</w:t>
      </w:r>
      <w:r>
        <w:t xml:space="preserve">očet </w:t>
      </w:r>
      <w:r w:rsidR="00CE0E46">
        <w:t>zamestnanc</w:t>
      </w:r>
      <w:r w:rsidR="004E7C2A">
        <w:t xml:space="preserve">ov </w:t>
      </w:r>
      <w:r w:rsidR="00A04A04">
        <w:t xml:space="preserve">so stálou prácou je </w:t>
      </w:r>
      <w:r w:rsidR="004E7C2A">
        <w:t xml:space="preserve">pri celkovom pohľade na mužov aj ženy </w:t>
      </w:r>
      <w:r w:rsidR="00A04A04">
        <w:t xml:space="preserve">po kríze </w:t>
      </w:r>
      <w:r w:rsidR="00CE0E46">
        <w:t>stabilizovaný a výrazne sa nemení</w:t>
      </w:r>
      <w:r w:rsidR="00A04A04">
        <w:t xml:space="preserve">. </w:t>
      </w:r>
      <w:r w:rsidR="004E7C2A">
        <w:t xml:space="preserve">Pri pohľade na jednotlivé pohlavia však vidno výrazné rozdiely. </w:t>
      </w:r>
      <w:r w:rsidR="004E7C2A" w:rsidRPr="00B01CD7">
        <w:rPr>
          <w:b/>
        </w:rPr>
        <w:t xml:space="preserve">Kým počet mužov so stálou prácou </w:t>
      </w:r>
      <w:r w:rsidR="00B01CD7" w:rsidRPr="00B01CD7">
        <w:rPr>
          <w:b/>
        </w:rPr>
        <w:t xml:space="preserve">od krízy </w:t>
      </w:r>
      <w:r w:rsidR="004E7C2A" w:rsidRPr="00B01CD7">
        <w:rPr>
          <w:b/>
        </w:rPr>
        <w:t>stúpol o 26,3-tisíc, počet žien so stálou prácou v rovnakom období klesol o 24,2-tisíc.</w:t>
      </w:r>
      <w:r w:rsidR="004E7C2A">
        <w:t xml:space="preserve"> Počet mužov aj žien, ktorí vykonávajú dočasnú, príležitostnú a sezónnu prácu, stúpol rovnako (o 59,8-tisíc v prípade mužov a o 59,7-tisíc v prípade žien).</w:t>
      </w:r>
    </w:p>
    <w:p w:rsidR="00CE0E46" w:rsidRDefault="00A04A04" w:rsidP="00A04A04">
      <w:pPr>
        <w:pStyle w:val="Odsekzoznamu"/>
        <w:numPr>
          <w:ilvl w:val="0"/>
          <w:numId w:val="2"/>
        </w:numPr>
      </w:pPr>
      <w:r w:rsidRPr="00735D3F">
        <w:rPr>
          <w:b/>
        </w:rPr>
        <w:t xml:space="preserve">Počet zamestnancov pracujúcich na plný pracovný čas stúpol od pokrízového minima o 53,6-tisíc a počet </w:t>
      </w:r>
      <w:r w:rsidR="00CE0E46" w:rsidRPr="00735D3F">
        <w:rPr>
          <w:b/>
        </w:rPr>
        <w:t xml:space="preserve">zamestnancov na kratší pracovný čas </w:t>
      </w:r>
      <w:r w:rsidRPr="00735D3F">
        <w:rPr>
          <w:b/>
        </w:rPr>
        <w:t>o 68-tisíc.</w:t>
      </w:r>
      <w:r>
        <w:t xml:space="preserve"> </w:t>
      </w:r>
      <w:r w:rsidR="002F0290" w:rsidRPr="002F0290">
        <w:rPr>
          <w:b/>
        </w:rPr>
        <w:t>Napriek tomu je zamestnancov na p</w:t>
      </w:r>
      <w:r w:rsidR="002F0290" w:rsidRPr="00D2681C">
        <w:rPr>
          <w:b/>
        </w:rPr>
        <w:t>lný pracovný čas stále o 163-tisíc menej ako pred krízou.</w:t>
      </w:r>
      <w:r w:rsidR="002F0290">
        <w:rPr>
          <w:b/>
        </w:rPr>
        <w:t xml:space="preserve"> </w:t>
      </w:r>
      <w:r>
        <w:t>Stúpa aj p</w:t>
      </w:r>
      <w:r w:rsidR="00CE0E46">
        <w:t xml:space="preserve">očet </w:t>
      </w:r>
      <w:proofErr w:type="spellStart"/>
      <w:r w:rsidR="00CE0E46">
        <w:t>podzamestnaných</w:t>
      </w:r>
      <w:proofErr w:type="spellEnd"/>
      <w:r w:rsidR="00156537">
        <w:rPr>
          <w:rStyle w:val="Odkaznapoznmkupodiarou"/>
        </w:rPr>
        <w:footnoteReference w:id="1"/>
      </w:r>
      <w:r>
        <w:t>, od roku 2014 o</w:t>
      </w:r>
      <w:r w:rsidR="00CE0E46">
        <w:t xml:space="preserve"> 24,6-tisíc (z 37,6 </w:t>
      </w:r>
      <w:r>
        <w:t xml:space="preserve">v prvom štvrťroku 2014 </w:t>
      </w:r>
      <w:r w:rsidR="00CE0E46">
        <w:t>na 62,2-tisíc osôb</w:t>
      </w:r>
      <w:r>
        <w:t xml:space="preserve"> v prvom štvrťroku 2015</w:t>
      </w:r>
      <w:r w:rsidR="00CE0E46">
        <w:t xml:space="preserve">). </w:t>
      </w:r>
      <w:r w:rsidR="00156537">
        <w:t xml:space="preserve">Opäť sú viditeľné výrazné rozdiely medzi pohlaviami. </w:t>
      </w:r>
      <w:r w:rsidR="00156537" w:rsidRPr="006202D6">
        <w:rPr>
          <w:b/>
        </w:rPr>
        <w:t>Kým počet mužov na plný pracovný čas stúpol od krízy o 57,6-tisíc, počet žien je stále nižší o 4-tisíc.</w:t>
      </w:r>
      <w:r w:rsidR="00156537">
        <w:t xml:space="preserve"> Počet mužov na kratší pracovný čas stúpol o 28,3-tisíc, počet žien o 39,7-tisíc.</w:t>
      </w:r>
    </w:p>
    <w:p w:rsidR="008026C3" w:rsidRDefault="008026C3">
      <w:bookmarkStart w:id="0" w:name="_GoBack"/>
      <w:bookmarkEnd w:id="0"/>
    </w:p>
    <w:p w:rsidR="008026C3" w:rsidRDefault="008026C3" w:rsidP="008026C3">
      <w:pPr>
        <w:spacing w:after="0"/>
        <w:rPr>
          <w:rFonts w:cs="Times New Roman"/>
        </w:rPr>
      </w:pPr>
      <w:r>
        <w:rPr>
          <w:rFonts w:cs="Times New Roman"/>
        </w:rPr>
        <w:t>Graf 10: Počet pracujúcich v zahraničí do jedného roka (v tisícoch)</w:t>
      </w:r>
    </w:p>
    <w:p w:rsidR="008026C3" w:rsidRDefault="001B2356" w:rsidP="008026C3">
      <w:pPr>
        <w:spacing w:after="0"/>
        <w:rPr>
          <w:rFonts w:cs="Times New Roman"/>
        </w:rPr>
      </w:pPr>
      <w:r>
        <w:rPr>
          <w:noProof/>
          <w:lang w:val="en-US"/>
        </w:rPr>
        <w:drawing>
          <wp:inline distT="0" distB="0" distL="0" distR="0" wp14:anchorId="6F6835CB" wp14:editId="42E92C8F">
            <wp:extent cx="4919662" cy="2381250"/>
            <wp:effectExtent l="0" t="0" r="14605" b="19050"/>
            <wp:docPr id="14" name="Graf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5E2975" w:rsidRDefault="008026C3" w:rsidP="005E2975">
      <w:pPr>
        <w:tabs>
          <w:tab w:val="left" w:pos="1530"/>
        </w:tabs>
        <w:spacing w:after="0"/>
        <w:rPr>
          <w:rFonts w:cs="Times New Roman"/>
        </w:rPr>
      </w:pPr>
      <w:r>
        <w:rPr>
          <w:rFonts w:cs="Times New Roman"/>
        </w:rPr>
        <w:t>Zdroj: ŠÚ SR</w:t>
      </w:r>
    </w:p>
    <w:p w:rsidR="00A87438" w:rsidRPr="008026C3" w:rsidRDefault="005E2975" w:rsidP="008026C3">
      <w:pPr>
        <w:tabs>
          <w:tab w:val="left" w:pos="1530"/>
        </w:tabs>
        <w:rPr>
          <w:rFonts w:cs="Times New Roman"/>
        </w:rPr>
      </w:pPr>
      <w:r>
        <w:rPr>
          <w:rFonts w:cs="Times New Roman"/>
        </w:rPr>
        <w:t>Poznámka: Počet ľudí krátkodobo pracujúcich v zahraničí stúpol od pokrízového minima 113,4-tisíc v štvrtom štvrťroku 2011 na 141,9-tisíc v druhom štvrťroku 2015, t.j. o 28,5-tisíc.</w:t>
      </w:r>
      <w:r w:rsidR="001B2356">
        <w:rPr>
          <w:rFonts w:cs="Times New Roman"/>
        </w:rPr>
        <w:t xml:space="preserve"> Napriek tomu je stále o 43,8-tisíc nižší oproti predkrízovému maximu 185,7-tisíc zo štvrtého štvrťroku 2007.</w:t>
      </w:r>
      <w:r w:rsidR="00A87438">
        <w:br w:type="page"/>
      </w:r>
    </w:p>
    <w:p w:rsidR="00A87438" w:rsidRDefault="00A87438" w:rsidP="00A87438">
      <w:pPr>
        <w:spacing w:after="0"/>
      </w:pPr>
      <w:r>
        <w:lastRenderedPageBreak/>
        <w:t>Graf</w:t>
      </w:r>
      <w:r w:rsidR="008A4ACF">
        <w:t xml:space="preserve"> 1</w:t>
      </w:r>
      <w:r w:rsidR="001F3692">
        <w:t>1</w:t>
      </w:r>
      <w:r>
        <w:t xml:space="preserve">: </w:t>
      </w:r>
      <w:r w:rsidR="00952B56">
        <w:t>Podiel pracujúcich na čiastočný úväzok na celkovom počte pracujúcich (v %, prvý štvrťrok 2015)</w:t>
      </w:r>
    </w:p>
    <w:p w:rsidR="00EC0CA4" w:rsidRDefault="00A87438" w:rsidP="00EC0CA4">
      <w:pPr>
        <w:spacing w:after="0"/>
      </w:pPr>
      <w:r>
        <w:rPr>
          <w:noProof/>
          <w:lang w:val="en-US"/>
        </w:rPr>
        <w:drawing>
          <wp:inline distT="0" distB="0" distL="0" distR="0" wp14:anchorId="2D9CABCF" wp14:editId="433CCB36">
            <wp:extent cx="5760720" cy="3171275"/>
            <wp:effectExtent l="0" t="0" r="11430" b="10160"/>
            <wp:docPr id="4" name="Graf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  <w:r>
        <w:t xml:space="preserve">Zdroj: </w:t>
      </w:r>
      <w:proofErr w:type="spellStart"/>
      <w:r>
        <w:t>Eurostat</w:t>
      </w:r>
      <w:proofErr w:type="spellEnd"/>
    </w:p>
    <w:p w:rsidR="00957725" w:rsidRDefault="00EC0CA4">
      <w:r>
        <w:t>Poznámka: Slovensko patrí medzi štáty s najnižším využívaním práce na čiastočný úväzok.</w:t>
      </w:r>
      <w:r w:rsidR="0045793F">
        <w:t xml:space="preserve"> Je otázne, do akej miery toto porovnanie skresľuje využívanie práce na dohody</w:t>
      </w:r>
      <w:r w:rsidR="00957725">
        <w:t xml:space="preserve"> o pracovnej činnosti</w:t>
      </w:r>
      <w:r w:rsidR="0045793F">
        <w:t>, ktoré sú na Slovensku rozšírené.</w:t>
      </w:r>
    </w:p>
    <w:p w:rsidR="00957725" w:rsidRDefault="00957725" w:rsidP="00957725">
      <w:pPr>
        <w:spacing w:after="0"/>
      </w:pPr>
      <w:r>
        <w:t>Graf</w:t>
      </w:r>
      <w:r w:rsidR="008A4ACF">
        <w:t xml:space="preserve"> 1</w:t>
      </w:r>
      <w:r w:rsidR="001F3692">
        <w:t>2</w:t>
      </w:r>
      <w:r>
        <w:t>: Podiel pracujúcich na dočasný úväzok na celkovom počte pracujúcich (v %, prvý štvrťrok 2015)</w:t>
      </w:r>
    </w:p>
    <w:p w:rsidR="00957725" w:rsidRDefault="00957725" w:rsidP="00957725">
      <w:pPr>
        <w:spacing w:after="0"/>
      </w:pPr>
      <w:r>
        <w:rPr>
          <w:noProof/>
          <w:lang w:val="en-US"/>
        </w:rPr>
        <w:drawing>
          <wp:inline distT="0" distB="0" distL="0" distR="0" wp14:anchorId="7B953C68" wp14:editId="273B4BA8">
            <wp:extent cx="5760720" cy="2977127"/>
            <wp:effectExtent l="0" t="0" r="11430" b="13970"/>
            <wp:docPr id="6" name="Graf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  <w:r>
        <w:t xml:space="preserve">Zdroj: </w:t>
      </w:r>
      <w:proofErr w:type="spellStart"/>
      <w:r>
        <w:t>Eurostat</w:t>
      </w:r>
      <w:proofErr w:type="spellEnd"/>
    </w:p>
    <w:p w:rsidR="00CE0E46" w:rsidRDefault="00957725" w:rsidP="00957725">
      <w:r>
        <w:t>Poznámka: Slovensko patrí medzi štáty s podpriemerným využívaním práce na dočasný úväzok. Je otázne, do akej miery toto porovnanie skresľuje využívanie práce na dohody o vykonaní práce, ktoré sú na Slovensku rozšírené.</w:t>
      </w:r>
      <w:r w:rsidR="00CE0E46">
        <w:br w:type="page"/>
      </w:r>
    </w:p>
    <w:p w:rsidR="008252CB" w:rsidRDefault="008252CB" w:rsidP="004D7B40">
      <w:pPr>
        <w:spacing w:after="0"/>
      </w:pPr>
      <w:r>
        <w:lastRenderedPageBreak/>
        <w:t>Graf</w:t>
      </w:r>
      <w:r w:rsidR="00A83CFB">
        <w:t xml:space="preserve"> 1</w:t>
      </w:r>
      <w:r w:rsidR="001F3692">
        <w:t>3</w:t>
      </w:r>
      <w:r>
        <w:t>: Miera zamestnanosti celková a na čiastočný úväzok (v %, prvý štvrťrok 2015)</w:t>
      </w:r>
    </w:p>
    <w:p w:rsidR="008252CB" w:rsidRDefault="0042073B" w:rsidP="004D7B40">
      <w:pPr>
        <w:spacing w:after="0"/>
      </w:pPr>
      <w:r>
        <w:rPr>
          <w:noProof/>
          <w:lang w:val="en-US"/>
        </w:rPr>
        <w:drawing>
          <wp:inline distT="0" distB="0" distL="0" distR="0" wp14:anchorId="63471AEE" wp14:editId="604FE1DF">
            <wp:extent cx="5760720" cy="3294377"/>
            <wp:effectExtent l="0" t="0" r="11430" b="20955"/>
            <wp:docPr id="11" name="Graf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8252CB" w:rsidRDefault="008252CB" w:rsidP="008252CB">
      <w:pPr>
        <w:spacing w:after="0"/>
      </w:pPr>
      <w:r>
        <w:t xml:space="preserve">Zdroj: </w:t>
      </w:r>
      <w:proofErr w:type="spellStart"/>
      <w:r>
        <w:t>Eurostat</w:t>
      </w:r>
      <w:proofErr w:type="spellEnd"/>
      <w:r w:rsidR="00A87AA7">
        <w:t>, autorov prepočet</w:t>
      </w:r>
    </w:p>
    <w:p w:rsidR="008252CB" w:rsidRDefault="008252CB" w:rsidP="008252CB">
      <w:pPr>
        <w:spacing w:after="0"/>
      </w:pPr>
      <w:r>
        <w:t>Poznámka:</w:t>
      </w:r>
      <w:r w:rsidR="009A2372">
        <w:t xml:space="preserve"> Štáty s vyššou zamestnanosťou majú spravidla aj väčší podiel ľudí pracujúcich na čiastočný úväzok.</w:t>
      </w:r>
    </w:p>
    <w:p w:rsidR="002B07E1" w:rsidRDefault="002B07E1"/>
    <w:p w:rsidR="002B07E1" w:rsidRDefault="002B07E1" w:rsidP="00A31DF2">
      <w:pPr>
        <w:spacing w:after="0"/>
      </w:pPr>
      <w:r>
        <w:t>Graf</w:t>
      </w:r>
      <w:r w:rsidR="00A83CFB">
        <w:t xml:space="preserve"> 1</w:t>
      </w:r>
      <w:r w:rsidR="001F3692">
        <w:t>4</w:t>
      </w:r>
      <w:r>
        <w:t>:</w:t>
      </w:r>
      <w:r w:rsidR="00EA6E87">
        <w:t xml:space="preserve"> Vývoj </w:t>
      </w:r>
      <w:r w:rsidR="00A31DF2">
        <w:t>miery zamestnanosti celkovej a na čiastočný úväzok v Nemecku (v %)</w:t>
      </w:r>
    </w:p>
    <w:p w:rsidR="0048360A" w:rsidRDefault="00A31DF2" w:rsidP="0048360A">
      <w:pPr>
        <w:spacing w:after="0"/>
      </w:pPr>
      <w:r>
        <w:rPr>
          <w:noProof/>
          <w:lang w:val="en-US"/>
        </w:rPr>
        <w:drawing>
          <wp:inline distT="0" distB="0" distL="0" distR="0" wp14:anchorId="7A8F1721" wp14:editId="5E774D57">
            <wp:extent cx="5760720" cy="2903021"/>
            <wp:effectExtent l="0" t="0" r="11430" b="12065"/>
            <wp:docPr id="13" name="Graf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  <w:r w:rsidR="0048360A">
        <w:t xml:space="preserve">Zdroj: </w:t>
      </w:r>
      <w:proofErr w:type="spellStart"/>
      <w:r w:rsidR="0048360A">
        <w:t>Eurostat</w:t>
      </w:r>
      <w:proofErr w:type="spellEnd"/>
      <w:r w:rsidR="00A87AA7">
        <w:t>, autorov prepočet</w:t>
      </w:r>
    </w:p>
    <w:p w:rsidR="008252CB" w:rsidRDefault="0048360A" w:rsidP="0048360A">
      <w:r>
        <w:t>Poznámka: Nemecko zvýšilo mieru zamestnanosti od roku 2000 o desať percentuálnych bodov najmä vďaka nárastu počtu pracujúcich na čiastočný úväzok.</w:t>
      </w:r>
      <w:r w:rsidR="008252CB">
        <w:br w:type="page"/>
      </w:r>
    </w:p>
    <w:p w:rsidR="004D7B40" w:rsidRDefault="004D7B40" w:rsidP="004D7B40">
      <w:pPr>
        <w:spacing w:after="0"/>
      </w:pPr>
      <w:r>
        <w:lastRenderedPageBreak/>
        <w:t>Tabuľka 4: Pomer minimálnej a priemernej mzdy vo vybraných okresoch (2014)</w:t>
      </w:r>
    </w:p>
    <w:tbl>
      <w:tblPr>
        <w:tblStyle w:val="Mriekatabuky"/>
        <w:tblW w:w="9410" w:type="dxa"/>
        <w:tblLook w:val="04A0" w:firstRow="1" w:lastRow="0" w:firstColumn="1" w:lastColumn="0" w:noHBand="0" w:noVBand="1"/>
      </w:tblPr>
      <w:tblGrid>
        <w:gridCol w:w="2028"/>
        <w:gridCol w:w="1962"/>
        <w:gridCol w:w="1771"/>
        <w:gridCol w:w="1807"/>
        <w:gridCol w:w="1842"/>
      </w:tblGrid>
      <w:tr w:rsidR="008B178B" w:rsidRPr="00841E6B" w:rsidTr="007E66CB">
        <w:tc>
          <w:tcPr>
            <w:tcW w:w="2028" w:type="dxa"/>
          </w:tcPr>
          <w:p w:rsidR="008B178B" w:rsidRPr="00841E6B" w:rsidRDefault="008B178B" w:rsidP="00947CF7"/>
        </w:tc>
        <w:tc>
          <w:tcPr>
            <w:tcW w:w="1962" w:type="dxa"/>
          </w:tcPr>
          <w:p w:rsidR="008B178B" w:rsidRPr="00841E6B" w:rsidRDefault="008B178B" w:rsidP="008B178B">
            <w:pPr>
              <w:jc w:val="center"/>
            </w:pPr>
            <w:r w:rsidRPr="00841E6B">
              <w:t>Minim</w:t>
            </w:r>
            <w:r>
              <w:t xml:space="preserve">álna </w:t>
            </w:r>
            <w:r w:rsidRPr="00841E6B">
              <w:t>/</w:t>
            </w:r>
            <w:r>
              <w:t xml:space="preserve"> Priemerná mzda (muži aj ženy)</w:t>
            </w:r>
          </w:p>
        </w:tc>
        <w:tc>
          <w:tcPr>
            <w:tcW w:w="1771" w:type="dxa"/>
          </w:tcPr>
          <w:p w:rsidR="008B178B" w:rsidRPr="00841E6B" w:rsidRDefault="008B178B" w:rsidP="004D7B40">
            <w:pPr>
              <w:jc w:val="center"/>
            </w:pPr>
            <w:r w:rsidRPr="00841E6B">
              <w:t>Minim</w:t>
            </w:r>
            <w:r>
              <w:t xml:space="preserve">álna </w:t>
            </w:r>
            <w:r w:rsidRPr="00841E6B">
              <w:t>/</w:t>
            </w:r>
            <w:r>
              <w:t xml:space="preserve"> Priemerná mzda (ženy)</w:t>
            </w:r>
          </w:p>
        </w:tc>
        <w:tc>
          <w:tcPr>
            <w:tcW w:w="1807" w:type="dxa"/>
          </w:tcPr>
          <w:p w:rsidR="008B178B" w:rsidRPr="00841E6B" w:rsidRDefault="008B178B" w:rsidP="008B178B">
            <w:pPr>
              <w:jc w:val="center"/>
            </w:pPr>
            <w:r>
              <w:t>Miera nezamestnanosti (muži aj ženy)</w:t>
            </w:r>
          </w:p>
        </w:tc>
        <w:tc>
          <w:tcPr>
            <w:tcW w:w="1842" w:type="dxa"/>
          </w:tcPr>
          <w:p w:rsidR="008B178B" w:rsidRDefault="008B178B" w:rsidP="008B178B">
            <w:pPr>
              <w:jc w:val="center"/>
            </w:pPr>
            <w:r>
              <w:t>Miera nezamestnanosti (ženy)</w:t>
            </w:r>
          </w:p>
        </w:tc>
      </w:tr>
      <w:tr w:rsidR="008B178B" w:rsidRPr="00841E6B" w:rsidTr="007E66CB">
        <w:tc>
          <w:tcPr>
            <w:tcW w:w="2028" w:type="dxa"/>
          </w:tcPr>
          <w:p w:rsidR="008B178B" w:rsidRPr="00841E6B" w:rsidRDefault="008B178B" w:rsidP="00947CF7">
            <w:r w:rsidRPr="00841E6B">
              <w:t xml:space="preserve">Bratislava </w:t>
            </w:r>
            <w:r>
              <w:t>II</w:t>
            </w:r>
          </w:p>
        </w:tc>
        <w:tc>
          <w:tcPr>
            <w:tcW w:w="1962" w:type="dxa"/>
          </w:tcPr>
          <w:p w:rsidR="008B178B" w:rsidRPr="00841E6B" w:rsidRDefault="008B178B" w:rsidP="00947CF7">
            <w:pPr>
              <w:jc w:val="center"/>
            </w:pPr>
            <w:r>
              <w:t>24</w:t>
            </w:r>
            <w:r w:rsidR="00591B19">
              <w:t>,</w:t>
            </w:r>
            <w:r>
              <w:t>75</w:t>
            </w:r>
            <w:r w:rsidR="00591B19">
              <w:t xml:space="preserve"> </w:t>
            </w:r>
            <w:r>
              <w:t>%</w:t>
            </w:r>
          </w:p>
        </w:tc>
        <w:tc>
          <w:tcPr>
            <w:tcW w:w="1771" w:type="dxa"/>
          </w:tcPr>
          <w:p w:rsidR="008B178B" w:rsidRPr="00841E6B" w:rsidRDefault="008B178B" w:rsidP="00591B19">
            <w:pPr>
              <w:jc w:val="center"/>
            </w:pPr>
            <w:r>
              <w:t>29</w:t>
            </w:r>
            <w:r w:rsidR="00591B19">
              <w:t>,</w:t>
            </w:r>
            <w:r>
              <w:t>75</w:t>
            </w:r>
            <w:r w:rsidR="00591B19">
              <w:t xml:space="preserve"> </w:t>
            </w:r>
            <w:r>
              <w:t>%</w:t>
            </w:r>
          </w:p>
        </w:tc>
        <w:tc>
          <w:tcPr>
            <w:tcW w:w="1807" w:type="dxa"/>
          </w:tcPr>
          <w:p w:rsidR="008B178B" w:rsidRDefault="00591B19" w:rsidP="00947CF7">
            <w:pPr>
              <w:jc w:val="center"/>
            </w:pPr>
            <w:r>
              <w:t>6,67 %</w:t>
            </w:r>
          </w:p>
        </w:tc>
        <w:tc>
          <w:tcPr>
            <w:tcW w:w="1842" w:type="dxa"/>
          </w:tcPr>
          <w:p w:rsidR="008B178B" w:rsidRDefault="00591B19" w:rsidP="00947CF7">
            <w:pPr>
              <w:jc w:val="center"/>
            </w:pPr>
            <w:r>
              <w:t>6,91 %</w:t>
            </w:r>
          </w:p>
        </w:tc>
      </w:tr>
      <w:tr w:rsidR="008B178B" w:rsidRPr="00841E6B" w:rsidTr="007E66CB">
        <w:tc>
          <w:tcPr>
            <w:tcW w:w="2028" w:type="dxa"/>
          </w:tcPr>
          <w:p w:rsidR="008B178B" w:rsidRPr="00841E6B" w:rsidRDefault="008B178B" w:rsidP="00947CF7">
            <w:r>
              <w:t>Bardejov</w:t>
            </w:r>
            <w:r w:rsidRPr="00841E6B">
              <w:t xml:space="preserve"> </w:t>
            </w:r>
          </w:p>
        </w:tc>
        <w:tc>
          <w:tcPr>
            <w:tcW w:w="1962" w:type="dxa"/>
          </w:tcPr>
          <w:p w:rsidR="008B178B" w:rsidRPr="00841E6B" w:rsidRDefault="008B178B" w:rsidP="00947CF7">
            <w:pPr>
              <w:jc w:val="center"/>
            </w:pPr>
            <w:r>
              <w:t>57</w:t>
            </w:r>
            <w:r w:rsidR="00591B19">
              <w:t>,</w:t>
            </w:r>
            <w:r>
              <w:t>33</w:t>
            </w:r>
            <w:r w:rsidR="00591B19">
              <w:t xml:space="preserve"> </w:t>
            </w:r>
            <w:r>
              <w:t>%</w:t>
            </w:r>
          </w:p>
        </w:tc>
        <w:tc>
          <w:tcPr>
            <w:tcW w:w="1771" w:type="dxa"/>
          </w:tcPr>
          <w:p w:rsidR="008B178B" w:rsidRPr="00841E6B" w:rsidRDefault="008B178B" w:rsidP="00947CF7">
            <w:pPr>
              <w:jc w:val="center"/>
            </w:pPr>
            <w:r>
              <w:t>60</w:t>
            </w:r>
            <w:r w:rsidR="00591B19">
              <w:t>,</w:t>
            </w:r>
            <w:r>
              <w:t>27</w:t>
            </w:r>
            <w:r w:rsidR="00591B19">
              <w:t xml:space="preserve"> </w:t>
            </w:r>
            <w:r>
              <w:t>%</w:t>
            </w:r>
          </w:p>
        </w:tc>
        <w:tc>
          <w:tcPr>
            <w:tcW w:w="1807" w:type="dxa"/>
          </w:tcPr>
          <w:p w:rsidR="008B178B" w:rsidRDefault="00591B19" w:rsidP="00947CF7">
            <w:pPr>
              <w:jc w:val="center"/>
            </w:pPr>
            <w:r>
              <w:t>19,6</w:t>
            </w:r>
            <w:r w:rsidR="00E670E1">
              <w:t>0</w:t>
            </w:r>
            <w:r>
              <w:t xml:space="preserve"> %</w:t>
            </w:r>
          </w:p>
        </w:tc>
        <w:tc>
          <w:tcPr>
            <w:tcW w:w="1842" w:type="dxa"/>
          </w:tcPr>
          <w:p w:rsidR="008B178B" w:rsidRDefault="00591B19" w:rsidP="00947CF7">
            <w:pPr>
              <w:jc w:val="center"/>
            </w:pPr>
            <w:r>
              <w:t>20,92 %</w:t>
            </w:r>
          </w:p>
        </w:tc>
      </w:tr>
      <w:tr w:rsidR="008B178B" w:rsidRPr="00841E6B" w:rsidTr="007E66CB">
        <w:tc>
          <w:tcPr>
            <w:tcW w:w="2028" w:type="dxa"/>
          </w:tcPr>
          <w:p w:rsidR="008B178B" w:rsidRPr="00841E6B" w:rsidRDefault="008B178B" w:rsidP="00947CF7">
            <w:r>
              <w:t>Rimavská Sobota</w:t>
            </w:r>
            <w:r w:rsidRPr="00841E6B">
              <w:t xml:space="preserve"> </w:t>
            </w:r>
          </w:p>
        </w:tc>
        <w:tc>
          <w:tcPr>
            <w:tcW w:w="1962" w:type="dxa"/>
          </w:tcPr>
          <w:p w:rsidR="008B178B" w:rsidRPr="00841E6B" w:rsidRDefault="008B178B" w:rsidP="00947CF7">
            <w:pPr>
              <w:jc w:val="center"/>
            </w:pPr>
            <w:r>
              <w:t>52</w:t>
            </w:r>
            <w:r w:rsidR="00591B19">
              <w:t>,</w:t>
            </w:r>
            <w:r>
              <w:t>30</w:t>
            </w:r>
            <w:r w:rsidR="00591B19">
              <w:t xml:space="preserve"> </w:t>
            </w:r>
            <w:r>
              <w:t>%</w:t>
            </w:r>
          </w:p>
        </w:tc>
        <w:tc>
          <w:tcPr>
            <w:tcW w:w="1771" w:type="dxa"/>
          </w:tcPr>
          <w:p w:rsidR="008B178B" w:rsidRPr="00841E6B" w:rsidRDefault="008B178B" w:rsidP="00947CF7">
            <w:pPr>
              <w:jc w:val="center"/>
            </w:pPr>
            <w:r>
              <w:t>55</w:t>
            </w:r>
            <w:r w:rsidR="00591B19">
              <w:t>,</w:t>
            </w:r>
            <w:r>
              <w:t>52</w:t>
            </w:r>
            <w:r w:rsidR="00591B19">
              <w:t xml:space="preserve"> </w:t>
            </w:r>
            <w:r>
              <w:t>%</w:t>
            </w:r>
          </w:p>
        </w:tc>
        <w:tc>
          <w:tcPr>
            <w:tcW w:w="1807" w:type="dxa"/>
          </w:tcPr>
          <w:p w:rsidR="008B178B" w:rsidRDefault="00591B19" w:rsidP="00947CF7">
            <w:pPr>
              <w:jc w:val="center"/>
            </w:pPr>
            <w:r>
              <w:t>29,84 %</w:t>
            </w:r>
          </w:p>
        </w:tc>
        <w:tc>
          <w:tcPr>
            <w:tcW w:w="1842" w:type="dxa"/>
          </w:tcPr>
          <w:p w:rsidR="008B178B" w:rsidRDefault="00591B19" w:rsidP="00947CF7">
            <w:pPr>
              <w:jc w:val="center"/>
            </w:pPr>
            <w:r>
              <w:t>29,34 %</w:t>
            </w:r>
          </w:p>
        </w:tc>
      </w:tr>
      <w:tr w:rsidR="008B178B" w:rsidRPr="00841E6B" w:rsidTr="007E66CB">
        <w:tc>
          <w:tcPr>
            <w:tcW w:w="2028" w:type="dxa"/>
          </w:tcPr>
          <w:p w:rsidR="008B178B" w:rsidRPr="00841E6B" w:rsidRDefault="008B178B" w:rsidP="00947CF7">
            <w:r>
              <w:t>Snina</w:t>
            </w:r>
            <w:r w:rsidRPr="00841E6B">
              <w:t xml:space="preserve"> </w:t>
            </w:r>
          </w:p>
        </w:tc>
        <w:tc>
          <w:tcPr>
            <w:tcW w:w="1962" w:type="dxa"/>
          </w:tcPr>
          <w:p w:rsidR="008B178B" w:rsidRPr="00841E6B" w:rsidRDefault="008B178B" w:rsidP="00947CF7">
            <w:pPr>
              <w:jc w:val="center"/>
            </w:pPr>
            <w:r>
              <w:t>52</w:t>
            </w:r>
            <w:r w:rsidR="00591B19">
              <w:t>,</w:t>
            </w:r>
            <w:r>
              <w:t>15</w:t>
            </w:r>
            <w:r w:rsidR="00591B19">
              <w:t xml:space="preserve"> </w:t>
            </w:r>
            <w:r>
              <w:t>%</w:t>
            </w:r>
          </w:p>
        </w:tc>
        <w:tc>
          <w:tcPr>
            <w:tcW w:w="1771" w:type="dxa"/>
          </w:tcPr>
          <w:p w:rsidR="008B178B" w:rsidRPr="00C732D0" w:rsidRDefault="008B178B" w:rsidP="00947CF7">
            <w:pPr>
              <w:jc w:val="center"/>
            </w:pPr>
            <w:r>
              <w:t>54</w:t>
            </w:r>
            <w:r w:rsidR="00591B19">
              <w:t>,</w:t>
            </w:r>
            <w:r>
              <w:t>49</w:t>
            </w:r>
            <w:r w:rsidR="00591B19">
              <w:t xml:space="preserve"> </w:t>
            </w:r>
            <w:r>
              <w:t>%</w:t>
            </w:r>
          </w:p>
        </w:tc>
        <w:tc>
          <w:tcPr>
            <w:tcW w:w="1807" w:type="dxa"/>
          </w:tcPr>
          <w:p w:rsidR="008B178B" w:rsidRDefault="00591B19" w:rsidP="00947CF7">
            <w:pPr>
              <w:jc w:val="center"/>
            </w:pPr>
            <w:r>
              <w:t>19,06 %</w:t>
            </w:r>
          </w:p>
        </w:tc>
        <w:tc>
          <w:tcPr>
            <w:tcW w:w="1842" w:type="dxa"/>
          </w:tcPr>
          <w:p w:rsidR="008B178B" w:rsidRDefault="00591B19" w:rsidP="00947CF7">
            <w:pPr>
              <w:jc w:val="center"/>
            </w:pPr>
            <w:r>
              <w:t>20,74 %</w:t>
            </w:r>
          </w:p>
        </w:tc>
      </w:tr>
      <w:tr w:rsidR="008B178B" w:rsidRPr="00841E6B" w:rsidTr="007E66CB">
        <w:tc>
          <w:tcPr>
            <w:tcW w:w="2028" w:type="dxa"/>
          </w:tcPr>
          <w:p w:rsidR="008B178B" w:rsidRPr="00841E6B" w:rsidRDefault="008B178B" w:rsidP="00947CF7">
            <w:r>
              <w:t>Poltár</w:t>
            </w:r>
            <w:r w:rsidRPr="00841E6B">
              <w:t xml:space="preserve"> </w:t>
            </w:r>
          </w:p>
        </w:tc>
        <w:tc>
          <w:tcPr>
            <w:tcW w:w="1962" w:type="dxa"/>
          </w:tcPr>
          <w:p w:rsidR="008B178B" w:rsidRPr="00841E6B" w:rsidRDefault="008B178B" w:rsidP="00947CF7">
            <w:pPr>
              <w:jc w:val="center"/>
            </w:pPr>
            <w:r>
              <w:t>51</w:t>
            </w:r>
            <w:r w:rsidR="00591B19">
              <w:t>,</w:t>
            </w:r>
            <w:r>
              <w:t>84</w:t>
            </w:r>
            <w:r w:rsidR="00591B19">
              <w:t xml:space="preserve"> </w:t>
            </w:r>
            <w:r>
              <w:t>%</w:t>
            </w:r>
          </w:p>
        </w:tc>
        <w:tc>
          <w:tcPr>
            <w:tcW w:w="1771" w:type="dxa"/>
          </w:tcPr>
          <w:p w:rsidR="008B178B" w:rsidRPr="00841E6B" w:rsidRDefault="008B178B" w:rsidP="00947CF7">
            <w:pPr>
              <w:jc w:val="center"/>
            </w:pPr>
            <w:r>
              <w:t>57</w:t>
            </w:r>
            <w:r w:rsidR="00591B19">
              <w:t>,</w:t>
            </w:r>
            <w:r>
              <w:t>89</w:t>
            </w:r>
            <w:r w:rsidR="00591B19">
              <w:t xml:space="preserve"> </w:t>
            </w:r>
            <w:r>
              <w:t>%</w:t>
            </w:r>
          </w:p>
        </w:tc>
        <w:tc>
          <w:tcPr>
            <w:tcW w:w="1807" w:type="dxa"/>
          </w:tcPr>
          <w:p w:rsidR="008B178B" w:rsidRDefault="00591B19" w:rsidP="00947CF7">
            <w:pPr>
              <w:jc w:val="center"/>
            </w:pPr>
            <w:r>
              <w:t>23,57 %</w:t>
            </w:r>
          </w:p>
        </w:tc>
        <w:tc>
          <w:tcPr>
            <w:tcW w:w="1842" w:type="dxa"/>
          </w:tcPr>
          <w:p w:rsidR="008B178B" w:rsidRDefault="00591B19" w:rsidP="00947CF7">
            <w:pPr>
              <w:jc w:val="center"/>
            </w:pPr>
            <w:r>
              <w:t>22,97 %</w:t>
            </w:r>
          </w:p>
        </w:tc>
      </w:tr>
      <w:tr w:rsidR="008B178B" w:rsidRPr="00841E6B" w:rsidTr="007E66CB">
        <w:tc>
          <w:tcPr>
            <w:tcW w:w="2028" w:type="dxa"/>
          </w:tcPr>
          <w:p w:rsidR="008B178B" w:rsidRPr="00841E6B" w:rsidRDefault="008B178B" w:rsidP="00947CF7">
            <w:r>
              <w:t>Kežmarok</w:t>
            </w:r>
            <w:r w:rsidRPr="00841E6B">
              <w:t xml:space="preserve"> </w:t>
            </w:r>
          </w:p>
        </w:tc>
        <w:tc>
          <w:tcPr>
            <w:tcW w:w="1962" w:type="dxa"/>
          </w:tcPr>
          <w:p w:rsidR="008B178B" w:rsidRPr="00841E6B" w:rsidRDefault="008B178B" w:rsidP="00947CF7">
            <w:pPr>
              <w:jc w:val="center"/>
            </w:pPr>
            <w:r>
              <w:t>51</w:t>
            </w:r>
            <w:r w:rsidR="00591B19">
              <w:t>,</w:t>
            </w:r>
            <w:r>
              <w:t>76</w:t>
            </w:r>
            <w:r w:rsidR="00591B19">
              <w:t xml:space="preserve"> </w:t>
            </w:r>
            <w:r>
              <w:t>%</w:t>
            </w:r>
          </w:p>
        </w:tc>
        <w:tc>
          <w:tcPr>
            <w:tcW w:w="1771" w:type="dxa"/>
          </w:tcPr>
          <w:p w:rsidR="008B178B" w:rsidRPr="00841E6B" w:rsidRDefault="008B178B" w:rsidP="00947CF7">
            <w:pPr>
              <w:jc w:val="center"/>
            </w:pPr>
            <w:r>
              <w:t>56</w:t>
            </w:r>
            <w:r w:rsidR="00591B19">
              <w:t>,</w:t>
            </w:r>
            <w:r>
              <w:t>96</w:t>
            </w:r>
            <w:r w:rsidR="00591B19">
              <w:t xml:space="preserve"> </w:t>
            </w:r>
            <w:r>
              <w:t>%</w:t>
            </w:r>
          </w:p>
        </w:tc>
        <w:tc>
          <w:tcPr>
            <w:tcW w:w="1807" w:type="dxa"/>
          </w:tcPr>
          <w:p w:rsidR="008B178B" w:rsidRDefault="00591B19" w:rsidP="00947CF7">
            <w:pPr>
              <w:jc w:val="center"/>
            </w:pPr>
            <w:r>
              <w:t>25,59 %</w:t>
            </w:r>
          </w:p>
        </w:tc>
        <w:tc>
          <w:tcPr>
            <w:tcW w:w="1842" w:type="dxa"/>
          </w:tcPr>
          <w:p w:rsidR="008B178B" w:rsidRDefault="00591B19" w:rsidP="00947CF7">
            <w:pPr>
              <w:jc w:val="center"/>
            </w:pPr>
            <w:r>
              <w:t>26,03 %</w:t>
            </w:r>
          </w:p>
        </w:tc>
      </w:tr>
      <w:tr w:rsidR="008B178B" w:rsidRPr="00841E6B" w:rsidTr="007E66CB">
        <w:tc>
          <w:tcPr>
            <w:tcW w:w="2028" w:type="dxa"/>
          </w:tcPr>
          <w:p w:rsidR="008B178B" w:rsidRPr="00841E6B" w:rsidRDefault="008B178B" w:rsidP="00947CF7">
            <w:r>
              <w:t>Stropkov</w:t>
            </w:r>
            <w:r w:rsidRPr="00841E6B">
              <w:t xml:space="preserve"> </w:t>
            </w:r>
          </w:p>
        </w:tc>
        <w:tc>
          <w:tcPr>
            <w:tcW w:w="1962" w:type="dxa"/>
          </w:tcPr>
          <w:p w:rsidR="008B178B" w:rsidRPr="00841E6B" w:rsidRDefault="008B178B" w:rsidP="00947CF7">
            <w:pPr>
              <w:jc w:val="center"/>
            </w:pPr>
            <w:r>
              <w:t>51</w:t>
            </w:r>
            <w:r w:rsidR="00591B19">
              <w:t>,</w:t>
            </w:r>
            <w:r>
              <w:t>76</w:t>
            </w:r>
            <w:r w:rsidR="00591B19">
              <w:t xml:space="preserve"> </w:t>
            </w:r>
            <w:r>
              <w:t>%</w:t>
            </w:r>
          </w:p>
        </w:tc>
        <w:tc>
          <w:tcPr>
            <w:tcW w:w="1771" w:type="dxa"/>
          </w:tcPr>
          <w:p w:rsidR="008B178B" w:rsidRPr="00841E6B" w:rsidRDefault="008B178B" w:rsidP="00947CF7">
            <w:pPr>
              <w:jc w:val="center"/>
            </w:pPr>
            <w:r>
              <w:t>56</w:t>
            </w:r>
            <w:r w:rsidR="00591B19">
              <w:t>,</w:t>
            </w:r>
            <w:r>
              <w:t>05</w:t>
            </w:r>
            <w:r w:rsidR="00591B19">
              <w:t xml:space="preserve"> </w:t>
            </w:r>
            <w:r>
              <w:t>%</w:t>
            </w:r>
          </w:p>
        </w:tc>
        <w:tc>
          <w:tcPr>
            <w:tcW w:w="1807" w:type="dxa"/>
          </w:tcPr>
          <w:p w:rsidR="008B178B" w:rsidRDefault="00591B19" w:rsidP="00947CF7">
            <w:pPr>
              <w:jc w:val="center"/>
            </w:pPr>
            <w:r>
              <w:t>17,40 %</w:t>
            </w:r>
          </w:p>
        </w:tc>
        <w:tc>
          <w:tcPr>
            <w:tcW w:w="1842" w:type="dxa"/>
          </w:tcPr>
          <w:p w:rsidR="008B178B" w:rsidRDefault="00591B19" w:rsidP="00947CF7">
            <w:pPr>
              <w:jc w:val="center"/>
            </w:pPr>
            <w:r>
              <w:t>18,96 %</w:t>
            </w:r>
          </w:p>
        </w:tc>
      </w:tr>
      <w:tr w:rsidR="008B178B" w:rsidRPr="00841E6B" w:rsidTr="007E66CB">
        <w:tc>
          <w:tcPr>
            <w:tcW w:w="2028" w:type="dxa"/>
          </w:tcPr>
          <w:p w:rsidR="008B178B" w:rsidRPr="00841E6B" w:rsidRDefault="008B178B" w:rsidP="00947CF7">
            <w:r>
              <w:t>Gelnica</w:t>
            </w:r>
            <w:r w:rsidRPr="00841E6B">
              <w:t xml:space="preserve"> </w:t>
            </w:r>
          </w:p>
        </w:tc>
        <w:tc>
          <w:tcPr>
            <w:tcW w:w="1962" w:type="dxa"/>
          </w:tcPr>
          <w:p w:rsidR="008B178B" w:rsidRPr="00841E6B" w:rsidRDefault="008B178B" w:rsidP="00947CF7">
            <w:pPr>
              <w:jc w:val="center"/>
            </w:pPr>
            <w:r>
              <w:t>50</w:t>
            </w:r>
            <w:r w:rsidR="00591B19">
              <w:t>,</w:t>
            </w:r>
            <w:r>
              <w:t>94</w:t>
            </w:r>
            <w:r w:rsidR="00591B19">
              <w:t xml:space="preserve"> </w:t>
            </w:r>
            <w:r>
              <w:t>%</w:t>
            </w:r>
          </w:p>
        </w:tc>
        <w:tc>
          <w:tcPr>
            <w:tcW w:w="1771" w:type="dxa"/>
          </w:tcPr>
          <w:p w:rsidR="008B178B" w:rsidRPr="00841E6B" w:rsidRDefault="008B178B" w:rsidP="00947CF7">
            <w:pPr>
              <w:jc w:val="center"/>
            </w:pPr>
            <w:r>
              <w:t>57</w:t>
            </w:r>
            <w:r w:rsidR="00591B19">
              <w:t>,</w:t>
            </w:r>
            <w:r>
              <w:t>33</w:t>
            </w:r>
            <w:r w:rsidR="00591B19">
              <w:t xml:space="preserve"> </w:t>
            </w:r>
            <w:r>
              <w:t>%</w:t>
            </w:r>
          </w:p>
        </w:tc>
        <w:tc>
          <w:tcPr>
            <w:tcW w:w="1807" w:type="dxa"/>
          </w:tcPr>
          <w:p w:rsidR="008B178B" w:rsidRDefault="00591B19" w:rsidP="00947CF7">
            <w:pPr>
              <w:jc w:val="center"/>
            </w:pPr>
            <w:r>
              <w:t>17,91 %</w:t>
            </w:r>
          </w:p>
        </w:tc>
        <w:tc>
          <w:tcPr>
            <w:tcW w:w="1842" w:type="dxa"/>
          </w:tcPr>
          <w:p w:rsidR="008B178B" w:rsidRDefault="00591B19" w:rsidP="00947CF7">
            <w:pPr>
              <w:jc w:val="center"/>
            </w:pPr>
            <w:r>
              <w:t>18,59 %</w:t>
            </w:r>
          </w:p>
        </w:tc>
      </w:tr>
      <w:tr w:rsidR="008B178B" w:rsidRPr="00841E6B" w:rsidTr="007E66CB">
        <w:tc>
          <w:tcPr>
            <w:tcW w:w="2028" w:type="dxa"/>
          </w:tcPr>
          <w:p w:rsidR="008B178B" w:rsidRPr="00841E6B" w:rsidRDefault="008B178B" w:rsidP="00947CF7">
            <w:r>
              <w:t>Veľký Krtíš</w:t>
            </w:r>
          </w:p>
        </w:tc>
        <w:tc>
          <w:tcPr>
            <w:tcW w:w="1962" w:type="dxa"/>
          </w:tcPr>
          <w:p w:rsidR="008B178B" w:rsidRPr="00841E6B" w:rsidRDefault="008B178B" w:rsidP="00947CF7">
            <w:pPr>
              <w:jc w:val="center"/>
            </w:pPr>
            <w:r>
              <w:t>50</w:t>
            </w:r>
            <w:r w:rsidR="00591B19">
              <w:t>,</w:t>
            </w:r>
            <w:r>
              <w:t>50</w:t>
            </w:r>
            <w:r w:rsidR="00591B19">
              <w:t xml:space="preserve"> </w:t>
            </w:r>
            <w:r>
              <w:t>%</w:t>
            </w:r>
          </w:p>
        </w:tc>
        <w:tc>
          <w:tcPr>
            <w:tcW w:w="1771" w:type="dxa"/>
          </w:tcPr>
          <w:p w:rsidR="008B178B" w:rsidRPr="00841E6B" w:rsidRDefault="008B178B" w:rsidP="00947CF7">
            <w:pPr>
              <w:jc w:val="center"/>
            </w:pPr>
            <w:r>
              <w:t>56</w:t>
            </w:r>
            <w:r w:rsidR="00591B19">
              <w:t>,</w:t>
            </w:r>
            <w:r>
              <w:t>05</w:t>
            </w:r>
            <w:r w:rsidR="00591B19">
              <w:t xml:space="preserve"> </w:t>
            </w:r>
            <w:r>
              <w:t>%</w:t>
            </w:r>
          </w:p>
        </w:tc>
        <w:tc>
          <w:tcPr>
            <w:tcW w:w="1807" w:type="dxa"/>
          </w:tcPr>
          <w:p w:rsidR="008B178B" w:rsidRDefault="00591B19" w:rsidP="00947CF7">
            <w:pPr>
              <w:jc w:val="center"/>
            </w:pPr>
            <w:r>
              <w:t>22,17 %</w:t>
            </w:r>
          </w:p>
        </w:tc>
        <w:tc>
          <w:tcPr>
            <w:tcW w:w="1842" w:type="dxa"/>
          </w:tcPr>
          <w:p w:rsidR="008B178B" w:rsidRDefault="00591B19" w:rsidP="00947CF7">
            <w:pPr>
              <w:jc w:val="center"/>
            </w:pPr>
            <w:r>
              <w:t>23,69 %</w:t>
            </w:r>
          </w:p>
        </w:tc>
      </w:tr>
      <w:tr w:rsidR="007E66CB" w:rsidRPr="00841E6B" w:rsidTr="007E66CB">
        <w:tc>
          <w:tcPr>
            <w:tcW w:w="2028" w:type="dxa"/>
          </w:tcPr>
          <w:p w:rsidR="007E66CB" w:rsidRDefault="007E66CB" w:rsidP="00947CF7">
            <w:r>
              <w:t>Vranov nad Topľou</w:t>
            </w:r>
          </w:p>
        </w:tc>
        <w:tc>
          <w:tcPr>
            <w:tcW w:w="1962" w:type="dxa"/>
          </w:tcPr>
          <w:p w:rsidR="007E66CB" w:rsidRDefault="007E66CB" w:rsidP="007E66CB">
            <w:pPr>
              <w:jc w:val="center"/>
            </w:pPr>
            <w:r>
              <w:t>49,79 %</w:t>
            </w:r>
          </w:p>
        </w:tc>
        <w:tc>
          <w:tcPr>
            <w:tcW w:w="1771" w:type="dxa"/>
          </w:tcPr>
          <w:p w:rsidR="007E66CB" w:rsidRDefault="007E66CB" w:rsidP="00947CF7">
            <w:pPr>
              <w:jc w:val="center"/>
            </w:pPr>
            <w:r>
              <w:t>55,35 %</w:t>
            </w:r>
          </w:p>
        </w:tc>
        <w:tc>
          <w:tcPr>
            <w:tcW w:w="1807" w:type="dxa"/>
          </w:tcPr>
          <w:p w:rsidR="007E66CB" w:rsidRDefault="007E66CB" w:rsidP="00947CF7">
            <w:pPr>
              <w:jc w:val="center"/>
            </w:pPr>
            <w:r>
              <w:t>21,25 %</w:t>
            </w:r>
          </w:p>
        </w:tc>
        <w:tc>
          <w:tcPr>
            <w:tcW w:w="1842" w:type="dxa"/>
          </w:tcPr>
          <w:p w:rsidR="007E66CB" w:rsidRDefault="007E66CB" w:rsidP="00947CF7">
            <w:pPr>
              <w:jc w:val="center"/>
            </w:pPr>
            <w:r>
              <w:t>22,87 %</w:t>
            </w:r>
          </w:p>
        </w:tc>
      </w:tr>
      <w:tr w:rsidR="008B178B" w:rsidRPr="00841E6B" w:rsidTr="007E66CB">
        <w:tc>
          <w:tcPr>
            <w:tcW w:w="2028" w:type="dxa"/>
          </w:tcPr>
          <w:p w:rsidR="008B178B" w:rsidRPr="00841E6B" w:rsidRDefault="008B178B" w:rsidP="00947CF7">
            <w:r>
              <w:t>Banská Štiavnica</w:t>
            </w:r>
            <w:r w:rsidRPr="00841E6B">
              <w:t xml:space="preserve"> </w:t>
            </w:r>
          </w:p>
        </w:tc>
        <w:tc>
          <w:tcPr>
            <w:tcW w:w="1962" w:type="dxa"/>
          </w:tcPr>
          <w:p w:rsidR="008B178B" w:rsidRPr="00841E6B" w:rsidRDefault="008B178B" w:rsidP="00947CF7">
            <w:pPr>
              <w:jc w:val="center"/>
            </w:pPr>
            <w:r>
              <w:t>49</w:t>
            </w:r>
            <w:r w:rsidR="00591B19">
              <w:t>,</w:t>
            </w:r>
            <w:r>
              <w:t>30</w:t>
            </w:r>
            <w:r w:rsidR="00591B19">
              <w:t xml:space="preserve"> </w:t>
            </w:r>
            <w:r>
              <w:t>%</w:t>
            </w:r>
          </w:p>
        </w:tc>
        <w:tc>
          <w:tcPr>
            <w:tcW w:w="1771" w:type="dxa"/>
          </w:tcPr>
          <w:p w:rsidR="008B178B" w:rsidRPr="00841E6B" w:rsidRDefault="008B178B" w:rsidP="00947CF7">
            <w:pPr>
              <w:jc w:val="center"/>
            </w:pPr>
            <w:r>
              <w:t>57</w:t>
            </w:r>
            <w:r w:rsidR="00591B19">
              <w:t>,</w:t>
            </w:r>
            <w:r>
              <w:t>52</w:t>
            </w:r>
            <w:r w:rsidR="00591B19">
              <w:t xml:space="preserve"> </w:t>
            </w:r>
            <w:r>
              <w:t>%</w:t>
            </w:r>
          </w:p>
        </w:tc>
        <w:tc>
          <w:tcPr>
            <w:tcW w:w="1807" w:type="dxa"/>
          </w:tcPr>
          <w:p w:rsidR="008B178B" w:rsidRDefault="00591B19" w:rsidP="00947CF7">
            <w:pPr>
              <w:jc w:val="center"/>
            </w:pPr>
            <w:r>
              <w:t>17,51 %</w:t>
            </w:r>
          </w:p>
        </w:tc>
        <w:tc>
          <w:tcPr>
            <w:tcW w:w="1842" w:type="dxa"/>
          </w:tcPr>
          <w:p w:rsidR="008B178B" w:rsidRDefault="00591B19" w:rsidP="00947CF7">
            <w:pPr>
              <w:jc w:val="center"/>
            </w:pPr>
            <w:r>
              <w:t>18,84 %</w:t>
            </w:r>
          </w:p>
        </w:tc>
      </w:tr>
    </w:tbl>
    <w:p w:rsidR="0015702C" w:rsidRDefault="00A76E7C" w:rsidP="0015702C">
      <w:pPr>
        <w:spacing w:after="0"/>
        <w:rPr>
          <w:rFonts w:cs="Times New Roman"/>
        </w:rPr>
      </w:pPr>
      <w:r>
        <w:rPr>
          <w:rFonts w:cs="Times New Roman"/>
        </w:rPr>
        <w:t>Zdroj: ŠÚ SR, prepočty autora</w:t>
      </w:r>
    </w:p>
    <w:p w:rsidR="00810802" w:rsidRDefault="0015702C">
      <w:pPr>
        <w:rPr>
          <w:rFonts w:cs="Times New Roman"/>
        </w:rPr>
      </w:pPr>
      <w:r>
        <w:rPr>
          <w:rFonts w:cs="Times New Roman"/>
        </w:rPr>
        <w:t>Poznámka: Vysoká minimálna mzda v pomere k priemernej môže byť v niektorých regi</w:t>
      </w:r>
      <w:r w:rsidR="003D7ABD">
        <w:rPr>
          <w:rFonts w:cs="Times New Roman"/>
        </w:rPr>
        <w:t>ónoch bariérou tvorby</w:t>
      </w:r>
      <w:r>
        <w:rPr>
          <w:rFonts w:cs="Times New Roman"/>
        </w:rPr>
        <w:t xml:space="preserve"> pracovných miest najmä pre pozície, kde sa od pracujúcich vyžaduje nižšia pridaná hodnota.</w:t>
      </w:r>
    </w:p>
    <w:p w:rsidR="00085D98" w:rsidRDefault="00085D98">
      <w:pPr>
        <w:rPr>
          <w:rFonts w:cs="Times New Roman"/>
        </w:rPr>
      </w:pPr>
    </w:p>
    <w:p w:rsidR="00810802" w:rsidRDefault="00810802" w:rsidP="00694D0C">
      <w:pPr>
        <w:spacing w:after="0"/>
        <w:rPr>
          <w:rFonts w:cs="Times New Roman"/>
        </w:rPr>
      </w:pPr>
      <w:r>
        <w:rPr>
          <w:rFonts w:cs="Times New Roman"/>
        </w:rPr>
        <w:t>Tabuľka 5: Daňové a odvodové zaťaženie živnostníka a zamestnanca s nízkym príjmom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875"/>
        <w:gridCol w:w="1701"/>
        <w:gridCol w:w="1563"/>
        <w:gridCol w:w="1848"/>
      </w:tblGrid>
      <w:tr w:rsidR="002059CC" w:rsidTr="00834FBA">
        <w:tc>
          <w:tcPr>
            <w:tcW w:w="2875" w:type="dxa"/>
          </w:tcPr>
          <w:p w:rsidR="002059CC" w:rsidRDefault="002059CC">
            <w:pPr>
              <w:rPr>
                <w:rFonts w:cs="Times New Roman"/>
              </w:rPr>
            </w:pPr>
          </w:p>
        </w:tc>
        <w:tc>
          <w:tcPr>
            <w:tcW w:w="3264" w:type="dxa"/>
            <w:gridSpan w:val="2"/>
          </w:tcPr>
          <w:p w:rsidR="002059CC" w:rsidRDefault="002059CC" w:rsidP="00CF0B3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Zamestnanie</w:t>
            </w:r>
          </w:p>
        </w:tc>
        <w:tc>
          <w:tcPr>
            <w:tcW w:w="1848" w:type="dxa"/>
            <w:vMerge w:val="restart"/>
          </w:tcPr>
          <w:p w:rsidR="002059CC" w:rsidRDefault="002059CC" w:rsidP="006A2118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Živnosť</w:t>
            </w:r>
          </w:p>
        </w:tc>
      </w:tr>
      <w:tr w:rsidR="002059CC" w:rsidTr="00834FBA">
        <w:tc>
          <w:tcPr>
            <w:tcW w:w="2875" w:type="dxa"/>
          </w:tcPr>
          <w:p w:rsidR="002059CC" w:rsidRDefault="002059CC">
            <w:pPr>
              <w:rPr>
                <w:rFonts w:cs="Times New Roman"/>
              </w:rPr>
            </w:pPr>
          </w:p>
        </w:tc>
        <w:tc>
          <w:tcPr>
            <w:tcW w:w="1701" w:type="dxa"/>
          </w:tcPr>
          <w:p w:rsidR="002059CC" w:rsidRDefault="002059CC" w:rsidP="00EA53F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Zamestnanec</w:t>
            </w:r>
          </w:p>
        </w:tc>
        <w:tc>
          <w:tcPr>
            <w:tcW w:w="1563" w:type="dxa"/>
          </w:tcPr>
          <w:p w:rsidR="002059CC" w:rsidRDefault="002059CC" w:rsidP="00EA53F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Zamestnávateľ</w:t>
            </w:r>
          </w:p>
        </w:tc>
        <w:tc>
          <w:tcPr>
            <w:tcW w:w="1848" w:type="dxa"/>
            <w:vMerge/>
          </w:tcPr>
          <w:p w:rsidR="002059CC" w:rsidRDefault="002059CC" w:rsidP="006A2118">
            <w:pPr>
              <w:jc w:val="center"/>
              <w:rPr>
                <w:rFonts w:cs="Times New Roman"/>
              </w:rPr>
            </w:pPr>
          </w:p>
        </w:tc>
      </w:tr>
      <w:tr w:rsidR="006A2118" w:rsidTr="00834FBA">
        <w:tc>
          <w:tcPr>
            <w:tcW w:w="2875" w:type="dxa"/>
          </w:tcPr>
          <w:p w:rsidR="006A2118" w:rsidRPr="00085D98" w:rsidRDefault="006A2118">
            <w:pPr>
              <w:rPr>
                <w:rFonts w:cs="Times New Roman"/>
              </w:rPr>
            </w:pPr>
            <w:r w:rsidRPr="00085D98">
              <w:rPr>
                <w:rFonts w:cs="Times New Roman"/>
              </w:rPr>
              <w:t xml:space="preserve">Hrubý </w:t>
            </w:r>
            <w:r w:rsidR="00761B45">
              <w:rPr>
                <w:rFonts w:cs="Times New Roman"/>
              </w:rPr>
              <w:t xml:space="preserve">mesačný </w:t>
            </w:r>
            <w:r w:rsidRPr="00085D98">
              <w:rPr>
                <w:rFonts w:cs="Times New Roman"/>
              </w:rPr>
              <w:t>príjem</w:t>
            </w:r>
          </w:p>
        </w:tc>
        <w:tc>
          <w:tcPr>
            <w:tcW w:w="3264" w:type="dxa"/>
            <w:gridSpan w:val="2"/>
          </w:tcPr>
          <w:p w:rsidR="006A2118" w:rsidRPr="00085D98" w:rsidRDefault="006A2118" w:rsidP="00085D98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38</w:t>
            </w:r>
            <w:r w:rsidRPr="00085D98">
              <w:rPr>
                <w:rFonts w:cs="Times New Roman"/>
              </w:rPr>
              <w:t xml:space="preserve">0 </w:t>
            </w:r>
            <w:r w:rsidR="00947CF7" w:rsidRPr="00085D98">
              <w:rPr>
                <w:rFonts w:cs="Times New Roman"/>
              </w:rPr>
              <w:t>€</w:t>
            </w:r>
          </w:p>
        </w:tc>
        <w:tc>
          <w:tcPr>
            <w:tcW w:w="1848" w:type="dxa"/>
          </w:tcPr>
          <w:p w:rsidR="006A2118" w:rsidRPr="00085D98" w:rsidRDefault="002059CC" w:rsidP="006A2118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</w:tr>
      <w:tr w:rsidR="006A2118" w:rsidTr="00834FBA">
        <w:tc>
          <w:tcPr>
            <w:tcW w:w="2875" w:type="dxa"/>
          </w:tcPr>
          <w:p w:rsidR="006A2118" w:rsidRPr="00085D98" w:rsidRDefault="006A2118">
            <w:pPr>
              <w:rPr>
                <w:rFonts w:cs="Times New Roman"/>
              </w:rPr>
            </w:pPr>
            <w:r w:rsidRPr="00085D98">
              <w:rPr>
                <w:rFonts w:cs="Times New Roman"/>
              </w:rPr>
              <w:t>Cena práce</w:t>
            </w:r>
            <w:r w:rsidR="00761B45">
              <w:rPr>
                <w:rFonts w:cs="Times New Roman"/>
              </w:rPr>
              <w:t xml:space="preserve"> (mesačne)</w:t>
            </w:r>
          </w:p>
        </w:tc>
        <w:tc>
          <w:tcPr>
            <w:tcW w:w="3264" w:type="dxa"/>
            <w:gridSpan w:val="2"/>
          </w:tcPr>
          <w:p w:rsidR="006A2118" w:rsidRPr="00085D98" w:rsidRDefault="006A2118" w:rsidP="00085D98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475</w:t>
            </w:r>
            <w:r w:rsidRPr="00085D98">
              <w:rPr>
                <w:rFonts w:cs="Times New Roman"/>
              </w:rPr>
              <w:t>,76 €</w:t>
            </w:r>
          </w:p>
        </w:tc>
        <w:tc>
          <w:tcPr>
            <w:tcW w:w="1848" w:type="dxa"/>
          </w:tcPr>
          <w:p w:rsidR="006A2118" w:rsidRPr="00085D98" w:rsidRDefault="00761B45" w:rsidP="006A2118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475,76 </w:t>
            </w:r>
            <w:r w:rsidRPr="00085D98">
              <w:rPr>
                <w:rFonts w:cs="Times New Roman"/>
              </w:rPr>
              <w:t>€</w:t>
            </w:r>
          </w:p>
        </w:tc>
      </w:tr>
      <w:tr w:rsidR="006A2118" w:rsidTr="00834FBA">
        <w:tc>
          <w:tcPr>
            <w:tcW w:w="2875" w:type="dxa"/>
          </w:tcPr>
          <w:p w:rsidR="006A2118" w:rsidRPr="00694D0C" w:rsidRDefault="00694D0C" w:rsidP="00834FBA">
            <w:pPr>
              <w:rPr>
                <w:rFonts w:cs="Times New Roman"/>
              </w:rPr>
            </w:pPr>
            <w:r w:rsidRPr="00694D0C">
              <w:rPr>
                <w:rFonts w:cs="Times New Roman"/>
              </w:rPr>
              <w:t>N</w:t>
            </w:r>
            <w:r w:rsidR="006A2118" w:rsidRPr="00694D0C">
              <w:rPr>
                <w:rFonts w:cs="Times New Roman"/>
              </w:rPr>
              <w:t>emocenské poistenie</w:t>
            </w:r>
          </w:p>
        </w:tc>
        <w:tc>
          <w:tcPr>
            <w:tcW w:w="1701" w:type="dxa"/>
          </w:tcPr>
          <w:p w:rsidR="006A2118" w:rsidRPr="00085D98" w:rsidRDefault="006A2118" w:rsidP="00085D98">
            <w:pPr>
              <w:jc w:val="center"/>
              <w:rPr>
                <w:rFonts w:cs="Times New Roman"/>
              </w:rPr>
            </w:pPr>
            <w:r w:rsidRPr="00242584">
              <w:rPr>
                <w:rFonts w:cs="Times New Roman"/>
              </w:rPr>
              <w:t>5,32 €</w:t>
            </w:r>
          </w:p>
        </w:tc>
        <w:tc>
          <w:tcPr>
            <w:tcW w:w="1563" w:type="dxa"/>
          </w:tcPr>
          <w:p w:rsidR="006A2118" w:rsidRPr="00085D98" w:rsidRDefault="006A2118" w:rsidP="00085D98">
            <w:pPr>
              <w:jc w:val="center"/>
              <w:rPr>
                <w:rFonts w:cs="Times New Roman"/>
              </w:rPr>
            </w:pPr>
            <w:r w:rsidRPr="00085D98">
              <w:rPr>
                <w:rFonts w:cs="Times New Roman"/>
              </w:rPr>
              <w:t>5,32 €</w:t>
            </w:r>
          </w:p>
        </w:tc>
        <w:tc>
          <w:tcPr>
            <w:tcW w:w="1848" w:type="dxa"/>
          </w:tcPr>
          <w:p w:rsidR="006A2118" w:rsidRPr="00085D98" w:rsidRDefault="00947CF7" w:rsidP="006A2118">
            <w:pPr>
              <w:jc w:val="center"/>
              <w:rPr>
                <w:rFonts w:cs="Times New Roman"/>
              </w:rPr>
            </w:pPr>
            <w:r>
              <w:t>18,12 €</w:t>
            </w:r>
          </w:p>
        </w:tc>
      </w:tr>
      <w:tr w:rsidR="006A2118" w:rsidTr="00834FBA">
        <w:tc>
          <w:tcPr>
            <w:tcW w:w="2875" w:type="dxa"/>
          </w:tcPr>
          <w:p w:rsidR="006A2118" w:rsidRPr="00694D0C" w:rsidRDefault="00694D0C" w:rsidP="00834FBA">
            <w:pPr>
              <w:rPr>
                <w:rFonts w:cs="Times New Roman"/>
              </w:rPr>
            </w:pPr>
            <w:r w:rsidRPr="00694D0C">
              <w:rPr>
                <w:rFonts w:cs="Times New Roman"/>
              </w:rPr>
              <w:t>S</w:t>
            </w:r>
            <w:r w:rsidR="006A2118" w:rsidRPr="00694D0C">
              <w:rPr>
                <w:rFonts w:cs="Times New Roman"/>
              </w:rPr>
              <w:t>tarobné poistenie</w:t>
            </w:r>
          </w:p>
        </w:tc>
        <w:tc>
          <w:tcPr>
            <w:tcW w:w="1701" w:type="dxa"/>
          </w:tcPr>
          <w:p w:rsidR="006A2118" w:rsidRPr="00085D98" w:rsidRDefault="006A2118" w:rsidP="00085D98">
            <w:pPr>
              <w:jc w:val="center"/>
              <w:rPr>
                <w:rFonts w:cs="Times New Roman"/>
              </w:rPr>
            </w:pPr>
            <w:r w:rsidRPr="00242584">
              <w:rPr>
                <w:rFonts w:cs="Times New Roman"/>
              </w:rPr>
              <w:t>15,20 €</w:t>
            </w:r>
          </w:p>
        </w:tc>
        <w:tc>
          <w:tcPr>
            <w:tcW w:w="1563" w:type="dxa"/>
          </w:tcPr>
          <w:p w:rsidR="006A2118" w:rsidRPr="00085D98" w:rsidRDefault="006A2118" w:rsidP="00085D98">
            <w:pPr>
              <w:jc w:val="center"/>
              <w:rPr>
                <w:rFonts w:cs="Times New Roman"/>
              </w:rPr>
            </w:pPr>
            <w:r w:rsidRPr="00085D98">
              <w:rPr>
                <w:rFonts w:cs="Times New Roman"/>
              </w:rPr>
              <w:t>53,20 €</w:t>
            </w:r>
          </w:p>
        </w:tc>
        <w:tc>
          <w:tcPr>
            <w:tcW w:w="1848" w:type="dxa"/>
          </w:tcPr>
          <w:p w:rsidR="006A2118" w:rsidRPr="00085D98" w:rsidRDefault="00947CF7" w:rsidP="006A2118">
            <w:pPr>
              <w:jc w:val="center"/>
              <w:rPr>
                <w:rFonts w:cs="Times New Roman"/>
              </w:rPr>
            </w:pPr>
            <w:r>
              <w:t>74,16 €</w:t>
            </w:r>
          </w:p>
        </w:tc>
      </w:tr>
      <w:tr w:rsidR="006A2118" w:rsidTr="00834FBA">
        <w:tc>
          <w:tcPr>
            <w:tcW w:w="2875" w:type="dxa"/>
          </w:tcPr>
          <w:p w:rsidR="006A2118" w:rsidRPr="00694D0C" w:rsidRDefault="00694D0C" w:rsidP="00834FBA">
            <w:pPr>
              <w:rPr>
                <w:rFonts w:cs="Times New Roman"/>
              </w:rPr>
            </w:pPr>
            <w:r w:rsidRPr="00694D0C">
              <w:rPr>
                <w:rFonts w:cs="Times New Roman"/>
              </w:rPr>
              <w:t>I</w:t>
            </w:r>
            <w:r w:rsidR="006A2118" w:rsidRPr="00694D0C">
              <w:rPr>
                <w:rFonts w:cs="Times New Roman"/>
              </w:rPr>
              <w:t>nvalidné poistenie</w:t>
            </w:r>
          </w:p>
        </w:tc>
        <w:tc>
          <w:tcPr>
            <w:tcW w:w="1701" w:type="dxa"/>
          </w:tcPr>
          <w:p w:rsidR="006A2118" w:rsidRPr="00085D98" w:rsidRDefault="006A2118" w:rsidP="00085D98">
            <w:pPr>
              <w:jc w:val="center"/>
              <w:rPr>
                <w:rFonts w:cs="Times New Roman"/>
              </w:rPr>
            </w:pPr>
            <w:r w:rsidRPr="00242584">
              <w:rPr>
                <w:rFonts w:cs="Times New Roman"/>
              </w:rPr>
              <w:t>11,40 €</w:t>
            </w:r>
          </w:p>
        </w:tc>
        <w:tc>
          <w:tcPr>
            <w:tcW w:w="1563" w:type="dxa"/>
          </w:tcPr>
          <w:p w:rsidR="006A2118" w:rsidRPr="00085D98" w:rsidRDefault="006A2118" w:rsidP="00085D98">
            <w:pPr>
              <w:jc w:val="center"/>
              <w:rPr>
                <w:rFonts w:cs="Times New Roman"/>
              </w:rPr>
            </w:pPr>
            <w:r w:rsidRPr="00085D98">
              <w:rPr>
                <w:rFonts w:cs="Times New Roman"/>
              </w:rPr>
              <w:t>11,40 €</w:t>
            </w:r>
          </w:p>
        </w:tc>
        <w:tc>
          <w:tcPr>
            <w:tcW w:w="1848" w:type="dxa"/>
          </w:tcPr>
          <w:p w:rsidR="006A2118" w:rsidRPr="00085D98" w:rsidRDefault="00947CF7" w:rsidP="006A2118">
            <w:pPr>
              <w:jc w:val="center"/>
              <w:rPr>
                <w:rFonts w:cs="Times New Roman"/>
              </w:rPr>
            </w:pPr>
            <w:r>
              <w:t>24,72 €</w:t>
            </w:r>
          </w:p>
        </w:tc>
      </w:tr>
      <w:tr w:rsidR="00947CF7" w:rsidTr="00834FBA">
        <w:tc>
          <w:tcPr>
            <w:tcW w:w="2875" w:type="dxa"/>
          </w:tcPr>
          <w:p w:rsidR="00947CF7" w:rsidRPr="00694D0C" w:rsidRDefault="00694D0C" w:rsidP="00834FBA">
            <w:pPr>
              <w:rPr>
                <w:rFonts w:cs="Times New Roman"/>
              </w:rPr>
            </w:pPr>
            <w:r w:rsidRPr="00694D0C">
              <w:rPr>
                <w:rFonts w:cs="Times New Roman"/>
              </w:rPr>
              <w:t>P</w:t>
            </w:r>
            <w:r w:rsidR="00947CF7" w:rsidRPr="00694D0C">
              <w:rPr>
                <w:rFonts w:cs="Times New Roman"/>
              </w:rPr>
              <w:t>oistenie v nezamestnanosti</w:t>
            </w:r>
          </w:p>
        </w:tc>
        <w:tc>
          <w:tcPr>
            <w:tcW w:w="1701" w:type="dxa"/>
          </w:tcPr>
          <w:p w:rsidR="00947CF7" w:rsidRPr="00085D98" w:rsidRDefault="00947CF7" w:rsidP="00085D98">
            <w:pPr>
              <w:jc w:val="center"/>
              <w:rPr>
                <w:rFonts w:cs="Times New Roman"/>
              </w:rPr>
            </w:pPr>
            <w:r w:rsidRPr="00242584">
              <w:rPr>
                <w:rFonts w:cs="Times New Roman"/>
              </w:rPr>
              <w:t>3,80 €</w:t>
            </w:r>
          </w:p>
        </w:tc>
        <w:tc>
          <w:tcPr>
            <w:tcW w:w="1563" w:type="dxa"/>
          </w:tcPr>
          <w:p w:rsidR="00947CF7" w:rsidRPr="00085D98" w:rsidRDefault="00947CF7" w:rsidP="00085D98">
            <w:pPr>
              <w:jc w:val="center"/>
              <w:rPr>
                <w:rFonts w:cs="Times New Roman"/>
              </w:rPr>
            </w:pPr>
            <w:r w:rsidRPr="00085D98">
              <w:rPr>
                <w:rFonts w:cs="Times New Roman"/>
              </w:rPr>
              <w:t>3,80 €</w:t>
            </w:r>
          </w:p>
        </w:tc>
        <w:tc>
          <w:tcPr>
            <w:tcW w:w="1848" w:type="dxa"/>
          </w:tcPr>
          <w:p w:rsidR="00947CF7" w:rsidRPr="00085D98" w:rsidRDefault="00947CF7" w:rsidP="00947CF7">
            <w:pPr>
              <w:jc w:val="center"/>
              <w:rPr>
                <w:rFonts w:cs="Times New Roman"/>
              </w:rPr>
            </w:pPr>
            <w:r w:rsidRPr="00085D98">
              <w:rPr>
                <w:rFonts w:cs="Times New Roman"/>
              </w:rPr>
              <w:t>0,00</w:t>
            </w:r>
            <w:r w:rsidRPr="00242584">
              <w:rPr>
                <w:rFonts w:cs="Times New Roman"/>
              </w:rPr>
              <w:t xml:space="preserve"> €</w:t>
            </w:r>
          </w:p>
        </w:tc>
      </w:tr>
      <w:tr w:rsidR="00947CF7" w:rsidTr="00834FBA">
        <w:tc>
          <w:tcPr>
            <w:tcW w:w="2875" w:type="dxa"/>
          </w:tcPr>
          <w:p w:rsidR="00947CF7" w:rsidRPr="00694D0C" w:rsidRDefault="00947CF7" w:rsidP="00834FBA">
            <w:pPr>
              <w:rPr>
                <w:rFonts w:cs="Times New Roman"/>
              </w:rPr>
            </w:pPr>
            <w:r w:rsidRPr="00694D0C">
              <w:rPr>
                <w:rFonts w:cs="Times New Roman"/>
              </w:rPr>
              <w:t>Rezervný fond</w:t>
            </w:r>
            <w:r w:rsidR="00834FBA">
              <w:rPr>
                <w:rFonts w:cs="Times New Roman"/>
              </w:rPr>
              <w:t xml:space="preserve"> solidarity</w:t>
            </w:r>
          </w:p>
        </w:tc>
        <w:tc>
          <w:tcPr>
            <w:tcW w:w="1701" w:type="dxa"/>
          </w:tcPr>
          <w:p w:rsidR="00947CF7" w:rsidRPr="00085D98" w:rsidRDefault="00947CF7" w:rsidP="00085D98">
            <w:pPr>
              <w:jc w:val="center"/>
              <w:rPr>
                <w:rFonts w:cs="Times New Roman"/>
              </w:rPr>
            </w:pPr>
            <w:r w:rsidRPr="00085D98">
              <w:rPr>
                <w:rFonts w:cs="Times New Roman"/>
              </w:rPr>
              <w:t>0,00</w:t>
            </w:r>
            <w:r w:rsidRPr="00242584">
              <w:rPr>
                <w:rFonts w:cs="Times New Roman"/>
              </w:rPr>
              <w:t xml:space="preserve"> €</w:t>
            </w:r>
          </w:p>
        </w:tc>
        <w:tc>
          <w:tcPr>
            <w:tcW w:w="1563" w:type="dxa"/>
          </w:tcPr>
          <w:p w:rsidR="00947CF7" w:rsidRPr="00085D98" w:rsidRDefault="00947CF7" w:rsidP="00085D98">
            <w:pPr>
              <w:jc w:val="center"/>
              <w:rPr>
                <w:rFonts w:cs="Times New Roman"/>
              </w:rPr>
            </w:pPr>
            <w:r w:rsidRPr="00085D98">
              <w:rPr>
                <w:rFonts w:cs="Times New Roman"/>
              </w:rPr>
              <w:t>18,05 €</w:t>
            </w:r>
          </w:p>
        </w:tc>
        <w:tc>
          <w:tcPr>
            <w:tcW w:w="1848" w:type="dxa"/>
          </w:tcPr>
          <w:p w:rsidR="00947CF7" w:rsidRPr="00085D98" w:rsidRDefault="00947CF7" w:rsidP="006A2118">
            <w:pPr>
              <w:jc w:val="center"/>
              <w:rPr>
                <w:rFonts w:cs="Times New Roman"/>
              </w:rPr>
            </w:pPr>
            <w:r>
              <w:t>19,57 €</w:t>
            </w:r>
          </w:p>
        </w:tc>
      </w:tr>
      <w:tr w:rsidR="00947CF7" w:rsidTr="00834FBA">
        <w:tc>
          <w:tcPr>
            <w:tcW w:w="2875" w:type="dxa"/>
          </w:tcPr>
          <w:p w:rsidR="00947CF7" w:rsidRPr="00694D0C" w:rsidRDefault="00947CF7" w:rsidP="00834FBA">
            <w:pPr>
              <w:rPr>
                <w:rFonts w:cs="Times New Roman"/>
              </w:rPr>
            </w:pPr>
            <w:r w:rsidRPr="00694D0C">
              <w:rPr>
                <w:rFonts w:cs="Times New Roman"/>
              </w:rPr>
              <w:t>Garančný fond</w:t>
            </w:r>
          </w:p>
        </w:tc>
        <w:tc>
          <w:tcPr>
            <w:tcW w:w="1701" w:type="dxa"/>
          </w:tcPr>
          <w:p w:rsidR="00947CF7" w:rsidRPr="00085D98" w:rsidRDefault="00947CF7" w:rsidP="00085D98">
            <w:pPr>
              <w:jc w:val="center"/>
              <w:rPr>
                <w:rFonts w:cs="Times New Roman"/>
              </w:rPr>
            </w:pPr>
            <w:r w:rsidRPr="00085D98">
              <w:rPr>
                <w:rFonts w:cs="Times New Roman"/>
              </w:rPr>
              <w:t>0,00</w:t>
            </w:r>
            <w:r w:rsidRPr="00242584">
              <w:rPr>
                <w:rFonts w:cs="Times New Roman"/>
              </w:rPr>
              <w:t xml:space="preserve"> €</w:t>
            </w:r>
          </w:p>
        </w:tc>
        <w:tc>
          <w:tcPr>
            <w:tcW w:w="1563" w:type="dxa"/>
          </w:tcPr>
          <w:p w:rsidR="00947CF7" w:rsidRPr="00085D98" w:rsidRDefault="00947CF7" w:rsidP="00085D98">
            <w:pPr>
              <w:jc w:val="center"/>
              <w:rPr>
                <w:rFonts w:cs="Times New Roman"/>
              </w:rPr>
            </w:pPr>
            <w:r w:rsidRPr="00085D98">
              <w:rPr>
                <w:rFonts w:cs="Times New Roman"/>
              </w:rPr>
              <w:t>0,95 €</w:t>
            </w:r>
          </w:p>
        </w:tc>
        <w:tc>
          <w:tcPr>
            <w:tcW w:w="1848" w:type="dxa"/>
          </w:tcPr>
          <w:p w:rsidR="00947CF7" w:rsidRPr="00085D98" w:rsidRDefault="00947CF7" w:rsidP="00947CF7">
            <w:pPr>
              <w:jc w:val="center"/>
              <w:rPr>
                <w:rFonts w:cs="Times New Roman"/>
              </w:rPr>
            </w:pPr>
            <w:r w:rsidRPr="00085D98">
              <w:rPr>
                <w:rFonts w:cs="Times New Roman"/>
              </w:rPr>
              <w:t>0,00</w:t>
            </w:r>
            <w:r w:rsidRPr="00242584">
              <w:rPr>
                <w:rFonts w:cs="Times New Roman"/>
              </w:rPr>
              <w:t xml:space="preserve"> €</w:t>
            </w:r>
          </w:p>
        </w:tc>
      </w:tr>
      <w:tr w:rsidR="00947CF7" w:rsidTr="00834FBA">
        <w:tc>
          <w:tcPr>
            <w:tcW w:w="2875" w:type="dxa"/>
          </w:tcPr>
          <w:p w:rsidR="00947CF7" w:rsidRPr="00694D0C" w:rsidRDefault="00947CF7" w:rsidP="00834FBA">
            <w:pPr>
              <w:rPr>
                <w:rFonts w:cs="Times New Roman"/>
              </w:rPr>
            </w:pPr>
            <w:r w:rsidRPr="00694D0C">
              <w:rPr>
                <w:rFonts w:cs="Times New Roman"/>
              </w:rPr>
              <w:t>Úrazové poistenie</w:t>
            </w:r>
          </w:p>
        </w:tc>
        <w:tc>
          <w:tcPr>
            <w:tcW w:w="1701" w:type="dxa"/>
          </w:tcPr>
          <w:p w:rsidR="00947CF7" w:rsidRPr="00085D98" w:rsidRDefault="00947CF7" w:rsidP="00085D98">
            <w:pPr>
              <w:jc w:val="center"/>
              <w:rPr>
                <w:rFonts w:cs="Times New Roman"/>
              </w:rPr>
            </w:pPr>
            <w:r w:rsidRPr="00085D98">
              <w:rPr>
                <w:rFonts w:cs="Times New Roman"/>
              </w:rPr>
              <w:t>0,00</w:t>
            </w:r>
            <w:r w:rsidRPr="00242584">
              <w:rPr>
                <w:rFonts w:cs="Times New Roman"/>
              </w:rPr>
              <w:t xml:space="preserve"> €</w:t>
            </w:r>
          </w:p>
        </w:tc>
        <w:tc>
          <w:tcPr>
            <w:tcW w:w="1563" w:type="dxa"/>
          </w:tcPr>
          <w:p w:rsidR="00947CF7" w:rsidRPr="00085D98" w:rsidRDefault="00947CF7" w:rsidP="00085D98">
            <w:pPr>
              <w:jc w:val="center"/>
              <w:rPr>
                <w:rFonts w:cs="Times New Roman"/>
              </w:rPr>
            </w:pPr>
            <w:r w:rsidRPr="00085D98">
              <w:rPr>
                <w:rFonts w:cs="Times New Roman"/>
              </w:rPr>
              <w:t>3,04 €</w:t>
            </w:r>
          </w:p>
        </w:tc>
        <w:tc>
          <w:tcPr>
            <w:tcW w:w="1848" w:type="dxa"/>
          </w:tcPr>
          <w:p w:rsidR="00947CF7" w:rsidRPr="00085D98" w:rsidRDefault="00947CF7" w:rsidP="00947CF7">
            <w:pPr>
              <w:jc w:val="center"/>
              <w:rPr>
                <w:rFonts w:cs="Times New Roman"/>
              </w:rPr>
            </w:pPr>
            <w:r w:rsidRPr="00085D98">
              <w:rPr>
                <w:rFonts w:cs="Times New Roman"/>
              </w:rPr>
              <w:t>0,00</w:t>
            </w:r>
            <w:r w:rsidRPr="00242584">
              <w:rPr>
                <w:rFonts w:cs="Times New Roman"/>
              </w:rPr>
              <w:t xml:space="preserve"> €</w:t>
            </w:r>
          </w:p>
        </w:tc>
      </w:tr>
      <w:tr w:rsidR="00947CF7" w:rsidTr="00834FBA">
        <w:tc>
          <w:tcPr>
            <w:tcW w:w="2875" w:type="dxa"/>
          </w:tcPr>
          <w:p w:rsidR="00947CF7" w:rsidRPr="00085D98" w:rsidRDefault="00947CF7" w:rsidP="00834FBA">
            <w:pPr>
              <w:rPr>
                <w:rFonts w:cs="Times New Roman"/>
              </w:rPr>
            </w:pPr>
            <w:r w:rsidRPr="00242584">
              <w:rPr>
                <w:rFonts w:cs="Times New Roman"/>
              </w:rPr>
              <w:t xml:space="preserve">Sociálne poistenie </w:t>
            </w:r>
            <w:r w:rsidR="00834FBA">
              <w:rPr>
                <w:rFonts w:cs="Times New Roman"/>
              </w:rPr>
              <w:t>spolu</w:t>
            </w:r>
          </w:p>
        </w:tc>
        <w:tc>
          <w:tcPr>
            <w:tcW w:w="1701" w:type="dxa"/>
          </w:tcPr>
          <w:p w:rsidR="00947CF7" w:rsidRPr="00085D98" w:rsidRDefault="00947CF7" w:rsidP="00085D98">
            <w:pPr>
              <w:jc w:val="center"/>
              <w:rPr>
                <w:rFonts w:cs="Times New Roman"/>
              </w:rPr>
            </w:pPr>
            <w:r w:rsidRPr="00242584">
              <w:rPr>
                <w:rFonts w:cs="Times New Roman"/>
              </w:rPr>
              <w:t>35,72 €</w:t>
            </w:r>
          </w:p>
        </w:tc>
        <w:tc>
          <w:tcPr>
            <w:tcW w:w="1563" w:type="dxa"/>
          </w:tcPr>
          <w:p w:rsidR="00947CF7" w:rsidRPr="00085D98" w:rsidRDefault="00947CF7" w:rsidP="00085D98">
            <w:pPr>
              <w:jc w:val="center"/>
              <w:rPr>
                <w:rFonts w:cs="Times New Roman"/>
              </w:rPr>
            </w:pPr>
            <w:r w:rsidRPr="00085D98">
              <w:rPr>
                <w:rFonts w:cs="Times New Roman"/>
              </w:rPr>
              <w:t>95,76 €</w:t>
            </w:r>
          </w:p>
        </w:tc>
        <w:tc>
          <w:tcPr>
            <w:tcW w:w="1848" w:type="dxa"/>
          </w:tcPr>
          <w:p w:rsidR="00947CF7" w:rsidRPr="00947CF7" w:rsidRDefault="00947CF7" w:rsidP="006A2118">
            <w:pPr>
              <w:jc w:val="center"/>
              <w:rPr>
                <w:rFonts w:cs="Times New Roman"/>
                <w:b/>
              </w:rPr>
            </w:pPr>
            <w:r w:rsidRPr="00947CF7">
              <w:rPr>
                <w:rStyle w:val="Siln"/>
                <w:b w:val="0"/>
              </w:rPr>
              <w:t>136,57 €</w:t>
            </w:r>
          </w:p>
        </w:tc>
      </w:tr>
      <w:tr w:rsidR="00947CF7" w:rsidTr="00834FBA">
        <w:tc>
          <w:tcPr>
            <w:tcW w:w="2875" w:type="dxa"/>
          </w:tcPr>
          <w:p w:rsidR="00947CF7" w:rsidRPr="00085D98" w:rsidRDefault="00947CF7" w:rsidP="00834FBA">
            <w:pPr>
              <w:rPr>
                <w:rFonts w:cs="Times New Roman"/>
              </w:rPr>
            </w:pPr>
            <w:r w:rsidRPr="00242584">
              <w:rPr>
                <w:rFonts w:cs="Times New Roman"/>
              </w:rPr>
              <w:t>Zdravotné poistenie</w:t>
            </w:r>
          </w:p>
        </w:tc>
        <w:tc>
          <w:tcPr>
            <w:tcW w:w="1701" w:type="dxa"/>
          </w:tcPr>
          <w:p w:rsidR="00947CF7" w:rsidRPr="00085D98" w:rsidRDefault="00947CF7" w:rsidP="00085D98">
            <w:pPr>
              <w:jc w:val="center"/>
              <w:rPr>
                <w:rFonts w:cs="Times New Roman"/>
              </w:rPr>
            </w:pPr>
            <w:r w:rsidRPr="00085D98">
              <w:rPr>
                <w:rFonts w:cs="Times New Roman"/>
              </w:rPr>
              <w:t>0,00</w:t>
            </w:r>
            <w:r w:rsidRPr="00242584">
              <w:rPr>
                <w:rFonts w:cs="Times New Roman"/>
              </w:rPr>
              <w:t xml:space="preserve"> €</w:t>
            </w:r>
          </w:p>
        </w:tc>
        <w:tc>
          <w:tcPr>
            <w:tcW w:w="1563" w:type="dxa"/>
          </w:tcPr>
          <w:p w:rsidR="00947CF7" w:rsidRPr="00085D98" w:rsidRDefault="00947CF7" w:rsidP="00085D98">
            <w:pPr>
              <w:jc w:val="center"/>
              <w:rPr>
                <w:rFonts w:cs="Times New Roman"/>
              </w:rPr>
            </w:pPr>
            <w:r w:rsidRPr="00085D98">
              <w:rPr>
                <w:rFonts w:cs="Times New Roman"/>
              </w:rPr>
              <w:t>0,00 €</w:t>
            </w:r>
          </w:p>
        </w:tc>
        <w:tc>
          <w:tcPr>
            <w:tcW w:w="1848" w:type="dxa"/>
          </w:tcPr>
          <w:p w:rsidR="00947CF7" w:rsidRPr="00947CF7" w:rsidRDefault="00947CF7" w:rsidP="006A2118">
            <w:pPr>
              <w:jc w:val="center"/>
              <w:rPr>
                <w:rFonts w:cs="Times New Roman"/>
                <w:b/>
              </w:rPr>
            </w:pPr>
            <w:r w:rsidRPr="00947CF7">
              <w:rPr>
                <w:rStyle w:val="Siln"/>
                <w:b w:val="0"/>
              </w:rPr>
              <w:t>57,68 €</w:t>
            </w:r>
          </w:p>
        </w:tc>
      </w:tr>
      <w:tr w:rsidR="001733E4" w:rsidTr="00834FBA">
        <w:tc>
          <w:tcPr>
            <w:tcW w:w="2875" w:type="dxa"/>
          </w:tcPr>
          <w:p w:rsidR="001733E4" w:rsidRPr="00242584" w:rsidRDefault="001733E4">
            <w:pPr>
              <w:rPr>
                <w:rFonts w:cs="Times New Roman"/>
              </w:rPr>
            </w:pPr>
            <w:r>
              <w:rPr>
                <w:rFonts w:cs="Times New Roman"/>
              </w:rPr>
              <w:t>Odvody spolu</w:t>
            </w:r>
          </w:p>
        </w:tc>
        <w:tc>
          <w:tcPr>
            <w:tcW w:w="3264" w:type="dxa"/>
            <w:gridSpan w:val="2"/>
          </w:tcPr>
          <w:p w:rsidR="001733E4" w:rsidRPr="00085D98" w:rsidRDefault="001733E4" w:rsidP="00085D98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131,48 </w:t>
            </w:r>
            <w:r w:rsidRPr="00242584">
              <w:rPr>
                <w:rFonts w:cs="Times New Roman"/>
              </w:rPr>
              <w:t>€</w:t>
            </w:r>
          </w:p>
        </w:tc>
        <w:tc>
          <w:tcPr>
            <w:tcW w:w="1848" w:type="dxa"/>
          </w:tcPr>
          <w:p w:rsidR="001733E4" w:rsidRPr="00947CF7" w:rsidRDefault="00694D0C" w:rsidP="006A2118">
            <w:pPr>
              <w:jc w:val="center"/>
              <w:rPr>
                <w:rStyle w:val="Siln"/>
                <w:b w:val="0"/>
              </w:rPr>
            </w:pPr>
            <w:r>
              <w:rPr>
                <w:rStyle w:val="Siln"/>
                <w:b w:val="0"/>
              </w:rPr>
              <w:t xml:space="preserve">194,25 </w:t>
            </w:r>
            <w:r w:rsidRPr="00242584">
              <w:rPr>
                <w:rFonts w:cs="Times New Roman"/>
              </w:rPr>
              <w:t>€</w:t>
            </w:r>
          </w:p>
        </w:tc>
      </w:tr>
      <w:tr w:rsidR="00761B45" w:rsidTr="00834FBA">
        <w:tc>
          <w:tcPr>
            <w:tcW w:w="2875" w:type="dxa"/>
          </w:tcPr>
          <w:p w:rsidR="00761B45" w:rsidRPr="00085D98" w:rsidRDefault="00761B45" w:rsidP="00085D98">
            <w:pPr>
              <w:rPr>
                <w:rFonts w:cs="Times New Roman"/>
              </w:rPr>
            </w:pPr>
            <w:r>
              <w:rPr>
                <w:rFonts w:cs="Times New Roman"/>
              </w:rPr>
              <w:t>Daň z príjmu</w:t>
            </w:r>
          </w:p>
        </w:tc>
        <w:tc>
          <w:tcPr>
            <w:tcW w:w="3264" w:type="dxa"/>
            <w:gridSpan w:val="2"/>
          </w:tcPr>
          <w:p w:rsidR="00761B45" w:rsidRPr="00085D98" w:rsidRDefault="00761B45" w:rsidP="00085D98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5,19</w:t>
            </w:r>
            <w:r w:rsidRPr="00242584">
              <w:rPr>
                <w:rFonts w:cs="Times New Roman"/>
              </w:rPr>
              <w:t xml:space="preserve"> €</w:t>
            </w:r>
          </w:p>
        </w:tc>
        <w:tc>
          <w:tcPr>
            <w:tcW w:w="1848" w:type="dxa"/>
          </w:tcPr>
          <w:p w:rsidR="00761B45" w:rsidRPr="00085D98" w:rsidRDefault="00761B45" w:rsidP="00002BC5">
            <w:pPr>
              <w:jc w:val="center"/>
              <w:rPr>
                <w:rFonts w:cs="Times New Roman"/>
              </w:rPr>
            </w:pPr>
            <w:r w:rsidRPr="00085D98">
              <w:rPr>
                <w:rFonts w:cs="Times New Roman"/>
              </w:rPr>
              <w:t>0,00</w:t>
            </w:r>
            <w:r w:rsidRPr="00242584">
              <w:rPr>
                <w:rFonts w:cs="Times New Roman"/>
              </w:rPr>
              <w:t xml:space="preserve"> €</w:t>
            </w:r>
          </w:p>
        </w:tc>
      </w:tr>
      <w:tr w:rsidR="00761B45" w:rsidRPr="00761B45" w:rsidTr="00834FBA">
        <w:tc>
          <w:tcPr>
            <w:tcW w:w="2875" w:type="dxa"/>
          </w:tcPr>
          <w:p w:rsidR="00761B45" w:rsidRPr="00761B45" w:rsidRDefault="00761B45">
            <w:pPr>
              <w:rPr>
                <w:rFonts w:cs="Times New Roman"/>
                <w:b/>
              </w:rPr>
            </w:pPr>
            <w:r w:rsidRPr="00761B45">
              <w:rPr>
                <w:rFonts w:cs="Times New Roman"/>
                <w:b/>
              </w:rPr>
              <w:t>Čistá mzda</w:t>
            </w:r>
            <w:r w:rsidR="009F3CF5">
              <w:rPr>
                <w:rFonts w:cs="Times New Roman"/>
                <w:b/>
              </w:rPr>
              <w:t>/príjem</w:t>
            </w:r>
          </w:p>
        </w:tc>
        <w:tc>
          <w:tcPr>
            <w:tcW w:w="3264" w:type="dxa"/>
            <w:gridSpan w:val="2"/>
          </w:tcPr>
          <w:p w:rsidR="00761B45" w:rsidRPr="00761B45" w:rsidRDefault="00761B45" w:rsidP="00085D98">
            <w:pPr>
              <w:jc w:val="center"/>
              <w:rPr>
                <w:rFonts w:cs="Times New Roman"/>
                <w:b/>
              </w:rPr>
            </w:pPr>
            <w:r w:rsidRPr="00761B45">
              <w:rPr>
                <w:rFonts w:cs="Times New Roman"/>
                <w:b/>
              </w:rPr>
              <w:t>339,09 €</w:t>
            </w:r>
          </w:p>
        </w:tc>
        <w:tc>
          <w:tcPr>
            <w:tcW w:w="1848" w:type="dxa"/>
          </w:tcPr>
          <w:p w:rsidR="00761B45" w:rsidRPr="00761B45" w:rsidRDefault="00761B45" w:rsidP="006A2118">
            <w:pPr>
              <w:jc w:val="center"/>
              <w:rPr>
                <w:rFonts w:cs="Times New Roman"/>
                <w:b/>
              </w:rPr>
            </w:pPr>
            <w:r w:rsidRPr="00761B45">
              <w:rPr>
                <w:rFonts w:cs="Times New Roman"/>
                <w:b/>
              </w:rPr>
              <w:t>281,51 €</w:t>
            </w:r>
          </w:p>
        </w:tc>
      </w:tr>
      <w:tr w:rsidR="00761B45" w:rsidTr="00834FBA">
        <w:tc>
          <w:tcPr>
            <w:tcW w:w="2875" w:type="dxa"/>
          </w:tcPr>
          <w:p w:rsidR="00761B45" w:rsidRDefault="00761B45">
            <w:pPr>
              <w:rPr>
                <w:rFonts w:cs="Times New Roman"/>
              </w:rPr>
            </w:pPr>
            <w:r>
              <w:rPr>
                <w:rFonts w:cs="Times New Roman"/>
              </w:rPr>
              <w:t>Rozdiel</w:t>
            </w:r>
          </w:p>
        </w:tc>
        <w:tc>
          <w:tcPr>
            <w:tcW w:w="5112" w:type="dxa"/>
            <w:gridSpan w:val="3"/>
          </w:tcPr>
          <w:p w:rsidR="00761B45" w:rsidRDefault="00761B45" w:rsidP="006A2118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57,58 </w:t>
            </w:r>
            <w:r w:rsidRPr="00242584">
              <w:rPr>
                <w:rFonts w:cs="Times New Roman"/>
              </w:rPr>
              <w:t>€</w:t>
            </w:r>
            <w:r>
              <w:rPr>
                <w:rFonts w:cs="Times New Roman"/>
              </w:rPr>
              <w:t xml:space="preserve"> v prospech zamestnania</w:t>
            </w:r>
          </w:p>
        </w:tc>
      </w:tr>
      <w:tr w:rsidR="009A5136" w:rsidTr="009F3EE8">
        <w:tc>
          <w:tcPr>
            <w:tcW w:w="7987" w:type="dxa"/>
            <w:gridSpan w:val="4"/>
          </w:tcPr>
          <w:p w:rsidR="009A5136" w:rsidRPr="009A5136" w:rsidRDefault="009A5136" w:rsidP="00E158E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</w:rPr>
              <w:t xml:space="preserve">Čistý príjem môže byť </w:t>
            </w:r>
            <w:r w:rsidR="00A73405">
              <w:rPr>
                <w:rFonts w:cs="Times New Roman"/>
              </w:rPr>
              <w:t>vyšší</w:t>
            </w:r>
            <w:r>
              <w:rPr>
                <w:rFonts w:cs="Times New Roman"/>
              </w:rPr>
              <w:t xml:space="preserve"> </w:t>
            </w:r>
            <w:r w:rsidR="00E158E7">
              <w:rPr>
                <w:rFonts w:cs="Times New Roman"/>
              </w:rPr>
              <w:t xml:space="preserve">najmä </w:t>
            </w:r>
            <w:r>
              <w:rPr>
                <w:rFonts w:cs="Times New Roman"/>
              </w:rPr>
              <w:t>v závislosti od počtu detí</w:t>
            </w:r>
            <w:r w:rsidR="00476D8B">
              <w:rPr>
                <w:rFonts w:cs="Times New Roman"/>
              </w:rPr>
              <w:t xml:space="preserve"> pracujúceho</w:t>
            </w:r>
            <w:r>
              <w:rPr>
                <w:rFonts w:cs="Times New Roman"/>
              </w:rPr>
              <w:t xml:space="preserve">. </w:t>
            </w:r>
            <w:r w:rsidR="00E158E7">
              <w:rPr>
                <w:rFonts w:cs="Times New Roman"/>
              </w:rPr>
              <w:t>D</w:t>
            </w:r>
            <w:r>
              <w:rPr>
                <w:rFonts w:cs="Times New Roman"/>
              </w:rPr>
              <w:t xml:space="preserve">aňový bonus na jedno dieťa je v roku 2015 vo </w:t>
            </w:r>
            <w:r w:rsidRPr="00470232">
              <w:rPr>
                <w:rFonts w:cs="Times New Roman"/>
              </w:rPr>
              <w:t xml:space="preserve">výške </w:t>
            </w:r>
            <w:r w:rsidR="00470232" w:rsidRPr="00470232">
              <w:rPr>
                <w:rFonts w:cs="Times New Roman"/>
              </w:rPr>
              <w:t>21,41 €</w:t>
            </w:r>
            <w:r w:rsidR="00470232" w:rsidRPr="0076591A">
              <w:rPr>
                <w:rFonts w:cs="Times New Roman"/>
              </w:rPr>
              <w:t xml:space="preserve"> mesačne</w:t>
            </w:r>
            <w:r w:rsidRPr="00470232">
              <w:rPr>
                <w:rFonts w:cs="Times New Roman"/>
              </w:rPr>
              <w:t>.</w:t>
            </w:r>
          </w:p>
        </w:tc>
      </w:tr>
    </w:tbl>
    <w:p w:rsidR="00761B45" w:rsidRDefault="00761B45" w:rsidP="00761B45">
      <w:pPr>
        <w:spacing w:after="0"/>
        <w:rPr>
          <w:rFonts w:cs="Times New Roman"/>
        </w:rPr>
      </w:pPr>
      <w:r>
        <w:rPr>
          <w:rFonts w:cs="Times New Roman"/>
        </w:rPr>
        <w:t>Zdroj: INEKO</w:t>
      </w:r>
    </w:p>
    <w:p w:rsidR="004D7B40" w:rsidRDefault="00761B45">
      <w:pPr>
        <w:rPr>
          <w:rFonts w:cs="Times New Roman"/>
        </w:rPr>
      </w:pPr>
      <w:r>
        <w:rPr>
          <w:rFonts w:cs="Times New Roman"/>
        </w:rPr>
        <w:t xml:space="preserve">Poznámka: </w:t>
      </w:r>
      <w:r w:rsidR="009A5136">
        <w:rPr>
          <w:rFonts w:cs="Times New Roman"/>
        </w:rPr>
        <w:t xml:space="preserve">Živnostníci s nízkymi príjmami majú vyššiu daňovo-odvodovú záťaž v porovnaní so zamestnancami (mesačne o 57,58 </w:t>
      </w:r>
      <w:r w:rsidR="009A5136" w:rsidRPr="00242584">
        <w:rPr>
          <w:rFonts w:cs="Times New Roman"/>
        </w:rPr>
        <w:t>€</w:t>
      </w:r>
      <w:r w:rsidR="009A5136">
        <w:rPr>
          <w:rFonts w:cs="Times New Roman"/>
        </w:rPr>
        <w:t xml:space="preserve">), čo môže byť bariérou pre vznik živností najmä pri výkone prác s nižšou pridanou hodnotou. </w:t>
      </w:r>
      <w:r w:rsidR="00C400B0">
        <w:rPr>
          <w:rFonts w:cs="Times New Roman"/>
        </w:rPr>
        <w:t xml:space="preserve">Relatívne vysoké odvodové zaťaženie zamestnancov aj živnostníkov s nízkym príjmom môže byť bariérou zvyšovania zamestnanosti. </w:t>
      </w:r>
      <w:r w:rsidR="004D7B40">
        <w:rPr>
          <w:rFonts w:cs="Times New Roman"/>
        </w:rPr>
        <w:br w:type="page"/>
      </w:r>
    </w:p>
    <w:p w:rsidR="008A4ACF" w:rsidRPr="00E56BC1" w:rsidRDefault="008A4ACF" w:rsidP="008A4ACF">
      <w:pPr>
        <w:spacing w:after="0"/>
        <w:rPr>
          <w:rFonts w:cs="Times New Roman"/>
        </w:rPr>
      </w:pPr>
      <w:r w:rsidRPr="00E56BC1">
        <w:rPr>
          <w:rFonts w:cs="Times New Roman"/>
        </w:rPr>
        <w:lastRenderedPageBreak/>
        <w:t xml:space="preserve">Graf </w:t>
      </w:r>
      <w:r>
        <w:rPr>
          <w:rFonts w:cs="Times New Roman"/>
        </w:rPr>
        <w:t>1</w:t>
      </w:r>
      <w:r w:rsidR="001F3692">
        <w:rPr>
          <w:rFonts w:cs="Times New Roman"/>
        </w:rPr>
        <w:t>5</w:t>
      </w:r>
      <w:r w:rsidRPr="00E56BC1">
        <w:rPr>
          <w:rFonts w:cs="Times New Roman"/>
        </w:rPr>
        <w:t xml:space="preserve">: </w:t>
      </w:r>
      <w:r>
        <w:rPr>
          <w:rFonts w:cs="Times New Roman"/>
        </w:rPr>
        <w:t>Pracujúci</w:t>
      </w:r>
      <w:r w:rsidRPr="00E56BC1">
        <w:rPr>
          <w:rFonts w:cs="Times New Roman"/>
        </w:rPr>
        <w:t xml:space="preserve"> podľa postavenia v zamestnaní </w:t>
      </w:r>
      <w:r>
        <w:rPr>
          <w:rFonts w:cs="Times New Roman"/>
        </w:rPr>
        <w:t>(v tisícoch)</w:t>
      </w:r>
    </w:p>
    <w:p w:rsidR="008A4ACF" w:rsidRPr="00E56BC1" w:rsidRDefault="008A4ACF" w:rsidP="008A4ACF">
      <w:pPr>
        <w:spacing w:after="0"/>
        <w:rPr>
          <w:rFonts w:cs="Times New Roman"/>
        </w:rPr>
      </w:pPr>
      <w:r>
        <w:rPr>
          <w:noProof/>
          <w:lang w:val="en-US"/>
        </w:rPr>
        <w:drawing>
          <wp:inline distT="0" distB="0" distL="0" distR="0" wp14:anchorId="3FE1811A" wp14:editId="49229EAF">
            <wp:extent cx="4491037" cy="2328863"/>
            <wp:effectExtent l="0" t="0" r="24130" b="14605"/>
            <wp:docPr id="37" name="Graf 3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8A4ACF" w:rsidRDefault="008A4ACF" w:rsidP="008A4ACF">
      <w:pPr>
        <w:tabs>
          <w:tab w:val="left" w:pos="1035"/>
        </w:tabs>
        <w:spacing w:after="0"/>
        <w:rPr>
          <w:rFonts w:cs="Times New Roman"/>
        </w:rPr>
      </w:pPr>
      <w:r>
        <w:rPr>
          <w:rFonts w:cs="Times New Roman"/>
        </w:rPr>
        <w:t>Zdroj: ŠÚ SR</w:t>
      </w:r>
    </w:p>
    <w:p w:rsidR="008A4ACF" w:rsidRDefault="008A4ACF" w:rsidP="008A4ACF">
      <w:pPr>
        <w:rPr>
          <w:rFonts w:cs="Times New Roman"/>
        </w:rPr>
      </w:pPr>
      <w:r>
        <w:rPr>
          <w:rFonts w:cs="Times New Roman"/>
        </w:rPr>
        <w:t xml:space="preserve">Poznámky: </w:t>
      </w:r>
    </w:p>
    <w:p w:rsidR="008A4ACF" w:rsidRDefault="008A4ACF" w:rsidP="008A4ACF">
      <w:pPr>
        <w:pStyle w:val="Odsekzoznamu"/>
        <w:numPr>
          <w:ilvl w:val="0"/>
          <w:numId w:val="3"/>
        </w:numPr>
        <w:rPr>
          <w:rFonts w:cs="Times New Roman"/>
        </w:rPr>
      </w:pPr>
      <w:r w:rsidRPr="00C324A0">
        <w:rPr>
          <w:rFonts w:cs="Times New Roman"/>
        </w:rPr>
        <w:t xml:space="preserve">V dôsledku privatizácie a znižovania počtu zamestnancov vo verejnej správe </w:t>
      </w:r>
      <w:r>
        <w:rPr>
          <w:rFonts w:cs="Times New Roman"/>
        </w:rPr>
        <w:t xml:space="preserve">pracuje od tretieho štvrťroku 2001 </w:t>
      </w:r>
      <w:r w:rsidRPr="00C324A0">
        <w:rPr>
          <w:rFonts w:cs="Times New Roman"/>
        </w:rPr>
        <w:t xml:space="preserve">v súkromnom sektore </w:t>
      </w:r>
      <w:r>
        <w:rPr>
          <w:rFonts w:cs="Times New Roman"/>
        </w:rPr>
        <w:t xml:space="preserve">viac </w:t>
      </w:r>
      <w:r w:rsidRPr="00C324A0">
        <w:rPr>
          <w:rFonts w:cs="Times New Roman"/>
        </w:rPr>
        <w:t xml:space="preserve">zamestnancov </w:t>
      </w:r>
      <w:r>
        <w:rPr>
          <w:rFonts w:cs="Times New Roman"/>
        </w:rPr>
        <w:t xml:space="preserve">ako vo </w:t>
      </w:r>
      <w:r w:rsidRPr="00C324A0">
        <w:rPr>
          <w:rFonts w:cs="Times New Roman"/>
        </w:rPr>
        <w:t xml:space="preserve">verejnom sektore. </w:t>
      </w:r>
    </w:p>
    <w:p w:rsidR="008A4ACF" w:rsidRDefault="008A4ACF" w:rsidP="008A4ACF">
      <w:pPr>
        <w:pStyle w:val="Odsekzoznamu"/>
        <w:numPr>
          <w:ilvl w:val="0"/>
          <w:numId w:val="3"/>
        </w:numPr>
        <w:rPr>
          <w:rFonts w:cs="Times New Roman"/>
        </w:rPr>
      </w:pPr>
      <w:r>
        <w:rPr>
          <w:rFonts w:cs="Times New Roman"/>
        </w:rPr>
        <w:t>Počet pracujúcich v kríze klesol o 189,8-tisíc ľudí (z 2472,9-tisíc v treťom štvrťroku 2008 na 2283,1-tisíc v prvom štvrťroku 2010). Odvtedy stúpol o 108,9-tisíc na 2392,0-tisíc v prvom štvrťroku 2015 (z toho o 64,9-tisíc od štvrtého štvrťroku 2013).</w:t>
      </w:r>
    </w:p>
    <w:p w:rsidR="008A4ACF" w:rsidRPr="006A582E" w:rsidRDefault="008A4ACF" w:rsidP="008A4ACF">
      <w:pPr>
        <w:pStyle w:val="Odsekzoznamu"/>
        <w:numPr>
          <w:ilvl w:val="0"/>
          <w:numId w:val="3"/>
        </w:numPr>
        <w:rPr>
          <w:rFonts w:cs="Times New Roman"/>
        </w:rPr>
      </w:pPr>
      <w:r>
        <w:rPr>
          <w:rFonts w:cs="Times New Roman"/>
        </w:rPr>
        <w:t xml:space="preserve">Počet zamestnancov verejného sektora v kríze klesol o 74,8-tisíc (zo 658,3-tisíc v treťom štvrťroku 2008 na 583,5-tisíc v prvom štvrťroku 2010) a následne stúpol na 650,1-tisíc v prvom štvrťroku 2015. Počet zamestnancov súkromného sektora v kríze klesol o 138,8-tisíc (z 1462,2-tisíc v treťom štvrťroku 2008 na 1323,4-tisíc v prvom štvrťroku 2010), následne stagnoval až do druhého štvrťroka 2013, odkedy začal rásť až na 1378,6-tisíc v prvom štvrťroku 2015. </w:t>
      </w:r>
      <w:r w:rsidRPr="006A582E">
        <w:rPr>
          <w:rFonts w:cs="Times New Roman"/>
        </w:rPr>
        <w:t xml:space="preserve">Počet </w:t>
      </w:r>
      <w:r>
        <w:rPr>
          <w:rFonts w:cs="Times New Roman"/>
        </w:rPr>
        <w:t>samozamestnaných v kríze stúpol o 27,5-tisíc (z 348,2-tisíc v treťom štvrťroku 2008 na 375,7-tisíc v prvom štvrťroku 2010), neskôr klesol na 363,3-tisíc v prvom štvrťroku 2015.</w:t>
      </w:r>
    </w:p>
    <w:p w:rsidR="008A4ACF" w:rsidRDefault="008A4ACF">
      <w:pPr>
        <w:rPr>
          <w:rFonts w:cs="Times New Roman"/>
        </w:rPr>
      </w:pPr>
      <w:r>
        <w:rPr>
          <w:rFonts w:cs="Times New Roman"/>
        </w:rPr>
        <w:br w:type="page"/>
      </w:r>
    </w:p>
    <w:p w:rsidR="008A4ACF" w:rsidRDefault="008A4ACF" w:rsidP="008A4ACF">
      <w:pPr>
        <w:spacing w:after="0"/>
        <w:rPr>
          <w:rFonts w:cs="Times New Roman"/>
        </w:rPr>
      </w:pPr>
      <w:r>
        <w:rPr>
          <w:rFonts w:cs="Times New Roman"/>
        </w:rPr>
        <w:lastRenderedPageBreak/>
        <w:t>Graf 1</w:t>
      </w:r>
      <w:r w:rsidR="001F3692">
        <w:rPr>
          <w:rFonts w:cs="Times New Roman"/>
        </w:rPr>
        <w:t>6</w:t>
      </w:r>
      <w:r>
        <w:rPr>
          <w:rFonts w:cs="Times New Roman"/>
        </w:rPr>
        <w:t>: Vývoj počtu pracujúcich na dohodu</w:t>
      </w:r>
    </w:p>
    <w:p w:rsidR="008A4ACF" w:rsidRDefault="008A4ACF" w:rsidP="008A4ACF">
      <w:pPr>
        <w:tabs>
          <w:tab w:val="left" w:pos="1035"/>
        </w:tabs>
        <w:spacing w:after="0"/>
        <w:rPr>
          <w:rFonts w:cs="Times New Roman"/>
        </w:rPr>
      </w:pPr>
      <w:r>
        <w:rPr>
          <w:noProof/>
          <w:lang w:val="en-US"/>
        </w:rPr>
        <w:drawing>
          <wp:inline distT="0" distB="0" distL="0" distR="0" wp14:anchorId="60C8C933" wp14:editId="11DBA683">
            <wp:extent cx="5334000" cy="3471863"/>
            <wp:effectExtent l="0" t="0" r="19050" b="14605"/>
            <wp:docPr id="36" name="Graf 3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8A4ACF" w:rsidRDefault="008A4ACF" w:rsidP="008A4ACF">
      <w:pPr>
        <w:tabs>
          <w:tab w:val="left" w:pos="1035"/>
        </w:tabs>
        <w:spacing w:after="0"/>
        <w:rPr>
          <w:rFonts w:cs="Times New Roman"/>
        </w:rPr>
      </w:pPr>
      <w:r>
        <w:rPr>
          <w:rFonts w:cs="Times New Roman"/>
        </w:rPr>
        <w:t>Zdroj: Sociálna poisťovňa</w:t>
      </w:r>
    </w:p>
    <w:p w:rsidR="008A4ACF" w:rsidRDefault="008A4ACF" w:rsidP="008A4ACF">
      <w:pPr>
        <w:tabs>
          <w:tab w:val="left" w:pos="1035"/>
        </w:tabs>
        <w:spacing w:after="0"/>
        <w:rPr>
          <w:rFonts w:cs="Times New Roman"/>
        </w:rPr>
      </w:pPr>
      <w:r>
        <w:rPr>
          <w:rFonts w:cs="Times New Roman"/>
        </w:rPr>
        <w:t xml:space="preserve">Poznámka: </w:t>
      </w:r>
      <w:r>
        <w:t>Počet osôb pracujúcich na dohodu</w:t>
      </w:r>
      <w:r w:rsidRPr="002C39E3">
        <w:t xml:space="preserve"> </w:t>
      </w:r>
      <w:r>
        <w:t xml:space="preserve">v januári 2013 prudko klesol o 311,5-tisíc (z 552,4-tisíc v decembri 2012 na 240,9-tisíc v januári 2013) v dôsledku zavedenia plných sociálnych aj zdravotných odvodov na väčšinu dohôd. Do januára 2015 počet </w:t>
      </w:r>
      <w:proofErr w:type="spellStart"/>
      <w:r>
        <w:t>dohodárov</w:t>
      </w:r>
      <w:proofErr w:type="spellEnd"/>
      <w:r>
        <w:t xml:space="preserve"> mierne stúpol na 322,2-tisíc.</w:t>
      </w:r>
    </w:p>
    <w:p w:rsidR="008A4ACF" w:rsidRDefault="008A4ACF">
      <w:pPr>
        <w:rPr>
          <w:rFonts w:cs="Times New Roman"/>
        </w:rPr>
      </w:pPr>
      <w:r>
        <w:rPr>
          <w:rFonts w:cs="Times New Roman"/>
        </w:rPr>
        <w:br w:type="page"/>
      </w:r>
    </w:p>
    <w:p w:rsidR="007E377B" w:rsidRPr="00E56BC1" w:rsidRDefault="00F920A0" w:rsidP="00CE0E46">
      <w:pPr>
        <w:rPr>
          <w:rFonts w:cs="Times New Roman"/>
        </w:rPr>
      </w:pPr>
      <w:r w:rsidRPr="00E56BC1">
        <w:rPr>
          <w:rFonts w:cs="Times New Roman"/>
          <w:noProof/>
          <w:lang w:val="en-US"/>
        </w:rPr>
        <w:lastRenderedPageBreak/>
        <w:drawing>
          <wp:anchor distT="0" distB="0" distL="114300" distR="114300" simplePos="0" relativeHeight="251659264" behindDoc="1" locked="0" layoutInCell="1" allowOverlap="1" wp14:anchorId="6F0791FC" wp14:editId="10785C72">
            <wp:simplePos x="0" y="0"/>
            <wp:positionH relativeFrom="margin">
              <wp:posOffset>-33020</wp:posOffset>
            </wp:positionH>
            <wp:positionV relativeFrom="paragraph">
              <wp:posOffset>205105</wp:posOffset>
            </wp:positionV>
            <wp:extent cx="4103370" cy="2319020"/>
            <wp:effectExtent l="0" t="0" r="0" b="5080"/>
            <wp:wrapTight wrapText="bothSides">
              <wp:wrapPolygon edited="0">
                <wp:start x="0" y="0"/>
                <wp:lineTo x="0" y="21470"/>
                <wp:lineTo x="21460" y="21470"/>
                <wp:lineTo x="21460" y="0"/>
                <wp:lineTo x="0" y="0"/>
              </wp:wrapPolygon>
            </wp:wrapTight>
            <wp:docPr id="5" name="Obrázo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ok 4"/>
                    <pic:cNvPicPr>
                      <a:picLocks noChangeAspect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3370" cy="2319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7DE7" w:rsidRPr="00E56BC1">
        <w:rPr>
          <w:rFonts w:cs="Times New Roman"/>
        </w:rPr>
        <w:t xml:space="preserve">Graf </w:t>
      </w:r>
      <w:r w:rsidR="008A4ACF">
        <w:rPr>
          <w:rFonts w:cs="Times New Roman"/>
        </w:rPr>
        <w:t>1</w:t>
      </w:r>
      <w:r w:rsidR="001F3692">
        <w:rPr>
          <w:rFonts w:cs="Times New Roman"/>
        </w:rPr>
        <w:t>7</w:t>
      </w:r>
      <w:r w:rsidR="00BF7DE7" w:rsidRPr="00E56BC1">
        <w:rPr>
          <w:rFonts w:cs="Times New Roman"/>
        </w:rPr>
        <w:t>: Porovnanie miery zamestnanosti pohlaví</w:t>
      </w:r>
    </w:p>
    <w:p w:rsidR="00F920A0" w:rsidRDefault="00F920A0" w:rsidP="00E56BC1">
      <w:pPr>
        <w:spacing w:after="0"/>
        <w:jc w:val="both"/>
        <w:rPr>
          <w:rFonts w:cs="Times New Roman"/>
        </w:rPr>
      </w:pPr>
    </w:p>
    <w:p w:rsidR="00F920A0" w:rsidRDefault="00F920A0" w:rsidP="00E56BC1">
      <w:pPr>
        <w:spacing w:after="0"/>
        <w:jc w:val="both"/>
        <w:rPr>
          <w:rFonts w:cs="Times New Roman"/>
        </w:rPr>
      </w:pPr>
    </w:p>
    <w:p w:rsidR="00F920A0" w:rsidRDefault="00F920A0" w:rsidP="00E56BC1">
      <w:pPr>
        <w:spacing w:after="0"/>
        <w:jc w:val="both"/>
        <w:rPr>
          <w:rFonts w:cs="Times New Roman"/>
        </w:rPr>
      </w:pPr>
    </w:p>
    <w:p w:rsidR="00F920A0" w:rsidRDefault="00F920A0" w:rsidP="00E56BC1">
      <w:pPr>
        <w:spacing w:after="0"/>
        <w:jc w:val="both"/>
        <w:rPr>
          <w:rFonts w:cs="Times New Roman"/>
        </w:rPr>
      </w:pPr>
    </w:p>
    <w:p w:rsidR="00F920A0" w:rsidRDefault="00F920A0" w:rsidP="00E56BC1">
      <w:pPr>
        <w:spacing w:after="0"/>
        <w:jc w:val="both"/>
        <w:rPr>
          <w:rFonts w:cs="Times New Roman"/>
        </w:rPr>
      </w:pPr>
    </w:p>
    <w:p w:rsidR="00F920A0" w:rsidRDefault="00F920A0" w:rsidP="00E56BC1">
      <w:pPr>
        <w:spacing w:after="0"/>
        <w:jc w:val="both"/>
        <w:rPr>
          <w:rFonts w:cs="Times New Roman"/>
        </w:rPr>
      </w:pPr>
    </w:p>
    <w:p w:rsidR="00F920A0" w:rsidRDefault="00F920A0" w:rsidP="00E56BC1">
      <w:pPr>
        <w:spacing w:after="0"/>
        <w:jc w:val="both"/>
        <w:rPr>
          <w:rFonts w:cs="Times New Roman"/>
        </w:rPr>
      </w:pPr>
    </w:p>
    <w:p w:rsidR="00F920A0" w:rsidRDefault="00F920A0" w:rsidP="00E56BC1">
      <w:pPr>
        <w:spacing w:after="0"/>
        <w:jc w:val="both"/>
        <w:rPr>
          <w:rFonts w:cs="Times New Roman"/>
        </w:rPr>
      </w:pPr>
    </w:p>
    <w:p w:rsidR="00F920A0" w:rsidRDefault="00F920A0" w:rsidP="00E56BC1">
      <w:pPr>
        <w:spacing w:after="0"/>
        <w:jc w:val="both"/>
        <w:rPr>
          <w:rFonts w:cs="Times New Roman"/>
        </w:rPr>
      </w:pPr>
    </w:p>
    <w:p w:rsidR="00F920A0" w:rsidRDefault="00F920A0" w:rsidP="00E56BC1">
      <w:pPr>
        <w:spacing w:after="0"/>
        <w:jc w:val="both"/>
        <w:rPr>
          <w:rFonts w:cs="Times New Roman"/>
        </w:rPr>
      </w:pPr>
    </w:p>
    <w:p w:rsidR="00F920A0" w:rsidRDefault="00F920A0" w:rsidP="00E56BC1">
      <w:pPr>
        <w:spacing w:after="0"/>
        <w:jc w:val="both"/>
        <w:rPr>
          <w:rFonts w:cs="Times New Roman"/>
        </w:rPr>
      </w:pPr>
    </w:p>
    <w:p w:rsidR="00F920A0" w:rsidRDefault="00F920A0" w:rsidP="00E56BC1">
      <w:pPr>
        <w:spacing w:after="0"/>
        <w:jc w:val="both"/>
        <w:rPr>
          <w:rFonts w:cs="Times New Roman"/>
        </w:rPr>
      </w:pPr>
    </w:p>
    <w:p w:rsidR="00F920A0" w:rsidRDefault="00F920A0" w:rsidP="00E56BC1">
      <w:pPr>
        <w:spacing w:after="0"/>
        <w:jc w:val="both"/>
        <w:rPr>
          <w:rFonts w:cs="Times New Roman"/>
        </w:rPr>
      </w:pPr>
    </w:p>
    <w:p w:rsidR="00BF7DE7" w:rsidRPr="00E56BC1" w:rsidRDefault="00BF7DE7" w:rsidP="00E56BC1">
      <w:pPr>
        <w:spacing w:after="0"/>
        <w:jc w:val="both"/>
        <w:rPr>
          <w:rFonts w:cs="Times New Roman"/>
        </w:rPr>
      </w:pPr>
      <w:r w:rsidRPr="00E56BC1">
        <w:rPr>
          <w:rFonts w:cs="Times New Roman"/>
        </w:rPr>
        <w:t>Zdroj: ŠÚ SR</w:t>
      </w:r>
    </w:p>
    <w:p w:rsidR="000003D0" w:rsidRPr="00E56BC1" w:rsidRDefault="00BF7DE7" w:rsidP="00BF7DE7">
      <w:pPr>
        <w:jc w:val="both"/>
        <w:rPr>
          <w:rFonts w:cs="Times New Roman"/>
        </w:rPr>
      </w:pPr>
      <w:r w:rsidRPr="00E56BC1">
        <w:rPr>
          <w:rFonts w:cs="Times New Roman"/>
        </w:rPr>
        <w:t xml:space="preserve">Poznámka: </w:t>
      </w:r>
      <w:r w:rsidR="00EF718E">
        <w:rPr>
          <w:rFonts w:cs="Times New Roman"/>
        </w:rPr>
        <w:t>Ž</w:t>
      </w:r>
      <w:r w:rsidR="000003D0" w:rsidRPr="00E56BC1">
        <w:rPr>
          <w:rFonts w:cs="Times New Roman"/>
        </w:rPr>
        <w:t>en</w:t>
      </w:r>
      <w:r w:rsidR="00EF718E">
        <w:rPr>
          <w:rFonts w:cs="Times New Roman"/>
        </w:rPr>
        <w:t>y majú dlhodobo v</w:t>
      </w:r>
      <w:r w:rsidR="000003D0" w:rsidRPr="00E56BC1">
        <w:rPr>
          <w:rFonts w:cs="Times New Roman"/>
        </w:rPr>
        <w:t>ýrazne nižšiu mieru zamestnanosti než muž</w:t>
      </w:r>
      <w:r w:rsidR="00EF718E">
        <w:rPr>
          <w:rFonts w:cs="Times New Roman"/>
        </w:rPr>
        <w:t>i</w:t>
      </w:r>
      <w:r w:rsidR="0099746B" w:rsidRPr="00E56BC1">
        <w:rPr>
          <w:rFonts w:cs="Times New Roman"/>
        </w:rPr>
        <w:t>. Na druhej strane, miera zamestnanosti žien bola menej náchylná na fluktuácie cyklického či sezónneho charakteru, ako napríklad hospodárska kríza po roku 2008.</w:t>
      </w:r>
    </w:p>
    <w:p w:rsidR="00964628" w:rsidRDefault="00964628">
      <w:pPr>
        <w:rPr>
          <w:rFonts w:cs="Times New Roman"/>
        </w:rPr>
      </w:pPr>
    </w:p>
    <w:p w:rsidR="002C39E3" w:rsidRDefault="002C39E3" w:rsidP="00964628">
      <w:pPr>
        <w:tabs>
          <w:tab w:val="left" w:pos="1035"/>
        </w:tabs>
        <w:spacing w:after="0"/>
        <w:rPr>
          <w:rFonts w:cs="Times New Roman"/>
        </w:rPr>
      </w:pPr>
    </w:p>
    <w:p w:rsidR="002C39E3" w:rsidRDefault="002C39E3">
      <w:pPr>
        <w:rPr>
          <w:rFonts w:cs="Times New Roman"/>
        </w:rPr>
      </w:pPr>
      <w:r>
        <w:rPr>
          <w:rFonts w:cs="Times New Roman"/>
        </w:rPr>
        <w:br w:type="page"/>
      </w:r>
    </w:p>
    <w:p w:rsidR="008A4ACF" w:rsidRPr="00E56BC1" w:rsidRDefault="008A4ACF" w:rsidP="008A4ACF">
      <w:pPr>
        <w:spacing w:after="0"/>
        <w:rPr>
          <w:rFonts w:cs="Times New Roman"/>
        </w:rPr>
      </w:pPr>
      <w:r w:rsidRPr="00E56BC1">
        <w:rPr>
          <w:rFonts w:cs="Times New Roman"/>
        </w:rPr>
        <w:lastRenderedPageBreak/>
        <w:t xml:space="preserve">Graf </w:t>
      </w:r>
      <w:r>
        <w:rPr>
          <w:rFonts w:cs="Times New Roman"/>
        </w:rPr>
        <w:t>1</w:t>
      </w:r>
      <w:r w:rsidR="001F3692">
        <w:rPr>
          <w:rFonts w:cs="Times New Roman"/>
        </w:rPr>
        <w:t>8</w:t>
      </w:r>
      <w:r w:rsidRPr="00E56BC1">
        <w:rPr>
          <w:rFonts w:cs="Times New Roman"/>
        </w:rPr>
        <w:t>: Miera zamestnanosti vekových skupín v percentách</w:t>
      </w:r>
    </w:p>
    <w:p w:rsidR="008A4ACF" w:rsidRPr="00E56BC1" w:rsidRDefault="008A4ACF" w:rsidP="008A4ACF">
      <w:pPr>
        <w:spacing w:after="0"/>
        <w:rPr>
          <w:rFonts w:cs="Times New Roman"/>
        </w:rPr>
      </w:pPr>
      <w:r w:rsidRPr="00E56BC1">
        <w:rPr>
          <w:rFonts w:cs="Times New Roman"/>
          <w:noProof/>
          <w:lang w:val="en-US"/>
        </w:rPr>
        <w:drawing>
          <wp:inline distT="0" distB="0" distL="0" distR="0" wp14:anchorId="7060468F" wp14:editId="387FC79F">
            <wp:extent cx="6202081" cy="3152775"/>
            <wp:effectExtent l="0" t="0" r="0" b="0"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5901" cy="3154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4ACF" w:rsidRDefault="008A4ACF" w:rsidP="008A4ACF">
      <w:pPr>
        <w:tabs>
          <w:tab w:val="left" w:pos="1035"/>
        </w:tabs>
        <w:spacing w:after="0"/>
        <w:rPr>
          <w:rFonts w:cs="Times New Roman"/>
        </w:rPr>
      </w:pPr>
      <w:r>
        <w:rPr>
          <w:rFonts w:cs="Times New Roman"/>
        </w:rPr>
        <w:t>Zdroj: ŠÚ SR</w:t>
      </w:r>
    </w:p>
    <w:p w:rsidR="008A4ACF" w:rsidRPr="00E56BC1" w:rsidRDefault="008A4ACF" w:rsidP="008A4ACF">
      <w:pPr>
        <w:rPr>
          <w:rFonts w:cs="Times New Roman"/>
        </w:rPr>
      </w:pPr>
      <w:r>
        <w:rPr>
          <w:rFonts w:cs="Times New Roman"/>
        </w:rPr>
        <w:t>Poznámka: N</w:t>
      </w:r>
      <w:r w:rsidRPr="00E56BC1">
        <w:rPr>
          <w:rFonts w:cs="Times New Roman"/>
        </w:rPr>
        <w:t>ajmladšia skupina, 15-24</w:t>
      </w:r>
      <w:r>
        <w:rPr>
          <w:rFonts w:cs="Times New Roman"/>
        </w:rPr>
        <w:t>-ročných,</w:t>
      </w:r>
      <w:r w:rsidRPr="00E56BC1">
        <w:rPr>
          <w:rFonts w:cs="Times New Roman"/>
        </w:rPr>
        <w:t xml:space="preserve"> je jedným z faktorov nízkej zamestnanosti na Slovensku. Rovnako zamestnanosť najstaršej skupiny, 50-64</w:t>
      </w:r>
      <w:r>
        <w:rPr>
          <w:rFonts w:cs="Times New Roman"/>
        </w:rPr>
        <w:t>-ročných</w:t>
      </w:r>
      <w:r w:rsidRPr="00E56BC1">
        <w:rPr>
          <w:rFonts w:cs="Times New Roman"/>
        </w:rPr>
        <w:t xml:space="preserve">, bola v minulosti pod priemerom, no dnes sa </w:t>
      </w:r>
      <w:r>
        <w:rPr>
          <w:rFonts w:cs="Times New Roman"/>
        </w:rPr>
        <w:t xml:space="preserve">(pravdepodobne najmä vďaka zvýšeniu dôchodkového veku) </w:t>
      </w:r>
      <w:r w:rsidRPr="00E56BC1">
        <w:rPr>
          <w:rFonts w:cs="Times New Roman"/>
        </w:rPr>
        <w:t>pohybuje zhruba okolo hodnôt miery zamestnanosti pre celú populáciu.</w:t>
      </w:r>
    </w:p>
    <w:p w:rsidR="008A4ACF" w:rsidRDefault="008A4ACF">
      <w:pPr>
        <w:rPr>
          <w:rFonts w:cs="Times New Roman"/>
        </w:rPr>
      </w:pPr>
      <w:r>
        <w:rPr>
          <w:rFonts w:cs="Times New Roman"/>
        </w:rPr>
        <w:br w:type="page"/>
      </w:r>
    </w:p>
    <w:p w:rsidR="003D4949" w:rsidRPr="00E56BC1" w:rsidRDefault="003D4949" w:rsidP="00BF52A7">
      <w:pPr>
        <w:spacing w:after="0"/>
        <w:rPr>
          <w:rFonts w:cs="Times New Roman"/>
        </w:rPr>
      </w:pPr>
      <w:r w:rsidRPr="00E56BC1">
        <w:rPr>
          <w:rFonts w:cs="Times New Roman"/>
        </w:rPr>
        <w:lastRenderedPageBreak/>
        <w:t xml:space="preserve">Graf </w:t>
      </w:r>
      <w:r w:rsidR="00210770">
        <w:rPr>
          <w:rFonts w:cs="Times New Roman"/>
        </w:rPr>
        <w:t>1</w:t>
      </w:r>
      <w:r w:rsidR="001F3692">
        <w:rPr>
          <w:rFonts w:cs="Times New Roman"/>
        </w:rPr>
        <w:t>9</w:t>
      </w:r>
      <w:r w:rsidRPr="00E56BC1">
        <w:rPr>
          <w:rFonts w:cs="Times New Roman"/>
        </w:rPr>
        <w:t xml:space="preserve">: Porovnanie miery zamestnanosti </w:t>
      </w:r>
      <w:r w:rsidR="00203D75">
        <w:rPr>
          <w:rFonts w:cs="Times New Roman"/>
        </w:rPr>
        <w:t>(</w:t>
      </w:r>
      <w:r w:rsidRPr="00E56BC1">
        <w:rPr>
          <w:rFonts w:cs="Times New Roman"/>
        </w:rPr>
        <w:t>15-24</w:t>
      </w:r>
      <w:r w:rsidR="00203D75">
        <w:rPr>
          <w:rFonts w:cs="Times New Roman"/>
        </w:rPr>
        <w:t>-ročných)</w:t>
      </w:r>
      <w:r w:rsidRPr="00E56BC1">
        <w:rPr>
          <w:rFonts w:cs="Times New Roman"/>
        </w:rPr>
        <w:t xml:space="preserve"> v percentách</w:t>
      </w:r>
    </w:p>
    <w:p w:rsidR="00D158C5" w:rsidRPr="00E56BC1" w:rsidRDefault="00701EFA" w:rsidP="00672074">
      <w:pPr>
        <w:spacing w:after="0"/>
        <w:rPr>
          <w:rFonts w:cs="Times New Roman"/>
        </w:rPr>
      </w:pPr>
      <w:r w:rsidRPr="00E56BC1">
        <w:rPr>
          <w:rFonts w:cs="Times New Roman"/>
          <w:noProof/>
          <w:lang w:val="en-US"/>
        </w:rPr>
        <w:drawing>
          <wp:inline distT="0" distB="0" distL="0" distR="0" wp14:anchorId="57942B1F" wp14:editId="6A472F1B">
            <wp:extent cx="5762625" cy="2952750"/>
            <wp:effectExtent l="19050" t="0" r="9525" b="0"/>
            <wp:docPr id="10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ok 2"/>
                    <pic:cNvPicPr>
                      <a:picLocks noChangeAspect="1"/>
                    </pic:cNvPicPr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2074" w:rsidRDefault="00672074" w:rsidP="00672074">
      <w:pPr>
        <w:tabs>
          <w:tab w:val="left" w:pos="1035"/>
        </w:tabs>
        <w:spacing w:after="0"/>
        <w:rPr>
          <w:rFonts w:cs="Times New Roman"/>
        </w:rPr>
      </w:pPr>
      <w:r>
        <w:rPr>
          <w:rFonts w:cs="Times New Roman"/>
        </w:rPr>
        <w:t>Zdroj: ŠÚ SR</w:t>
      </w:r>
    </w:p>
    <w:p w:rsidR="00701EFA" w:rsidRPr="00E56BC1" w:rsidRDefault="00672074" w:rsidP="00D158C5">
      <w:pPr>
        <w:rPr>
          <w:rFonts w:cs="Times New Roman"/>
        </w:rPr>
      </w:pPr>
      <w:r>
        <w:rPr>
          <w:rFonts w:cs="Times New Roman"/>
        </w:rPr>
        <w:t xml:space="preserve">Poznámka: </w:t>
      </w:r>
      <w:r w:rsidR="00266157">
        <w:rPr>
          <w:rFonts w:cs="Times New Roman"/>
        </w:rPr>
        <w:t>M</w:t>
      </w:r>
      <w:r w:rsidR="00266157" w:rsidRPr="00E56BC1">
        <w:rPr>
          <w:rFonts w:cs="Times New Roman"/>
        </w:rPr>
        <w:t>ier</w:t>
      </w:r>
      <w:r w:rsidR="00266157">
        <w:rPr>
          <w:rFonts w:cs="Times New Roman"/>
        </w:rPr>
        <w:t>a</w:t>
      </w:r>
      <w:r w:rsidR="00266157" w:rsidRPr="00E56BC1">
        <w:rPr>
          <w:rFonts w:cs="Times New Roman"/>
        </w:rPr>
        <w:t xml:space="preserve"> zamestnanosti </w:t>
      </w:r>
      <w:r w:rsidR="00701EFA" w:rsidRPr="00E56BC1">
        <w:rPr>
          <w:rFonts w:cs="Times New Roman"/>
        </w:rPr>
        <w:t xml:space="preserve">mladých ľudí </w:t>
      </w:r>
      <w:r w:rsidR="00266157">
        <w:rPr>
          <w:rFonts w:cs="Times New Roman"/>
        </w:rPr>
        <w:t xml:space="preserve">vo veku </w:t>
      </w:r>
      <w:r w:rsidR="00701EFA" w:rsidRPr="00E56BC1">
        <w:rPr>
          <w:rFonts w:cs="Times New Roman"/>
        </w:rPr>
        <w:t xml:space="preserve">15-24 </w:t>
      </w:r>
      <w:r w:rsidR="00266157">
        <w:rPr>
          <w:rFonts w:cs="Times New Roman"/>
        </w:rPr>
        <w:t xml:space="preserve">rokov na Slovensku klesla od </w:t>
      </w:r>
      <w:r w:rsidR="00701EFA" w:rsidRPr="00E56BC1">
        <w:rPr>
          <w:rFonts w:cs="Times New Roman"/>
        </w:rPr>
        <w:t>začiatk</w:t>
      </w:r>
      <w:r w:rsidR="00266157">
        <w:rPr>
          <w:rFonts w:cs="Times New Roman"/>
        </w:rPr>
        <w:t>u</w:t>
      </w:r>
      <w:r w:rsidR="00701EFA" w:rsidRPr="00E56BC1">
        <w:rPr>
          <w:rFonts w:cs="Times New Roman"/>
        </w:rPr>
        <w:t xml:space="preserve"> roka 2008 </w:t>
      </w:r>
      <w:r w:rsidR="00266157">
        <w:rPr>
          <w:rFonts w:cs="Times New Roman"/>
        </w:rPr>
        <w:t xml:space="preserve">do </w:t>
      </w:r>
      <w:r w:rsidR="00701EFA" w:rsidRPr="00E56BC1">
        <w:rPr>
          <w:rFonts w:cs="Times New Roman"/>
        </w:rPr>
        <w:t>konc</w:t>
      </w:r>
      <w:r w:rsidR="00266157">
        <w:rPr>
          <w:rFonts w:cs="Times New Roman"/>
        </w:rPr>
        <w:t>a</w:t>
      </w:r>
      <w:r w:rsidR="00701EFA" w:rsidRPr="00E56BC1">
        <w:rPr>
          <w:rFonts w:cs="Times New Roman"/>
        </w:rPr>
        <w:t xml:space="preserve"> 2011 o viac </w:t>
      </w:r>
      <w:r w:rsidR="00C23618" w:rsidRPr="00E56BC1">
        <w:rPr>
          <w:rFonts w:cs="Times New Roman"/>
        </w:rPr>
        <w:t>než 6</w:t>
      </w:r>
      <w:r w:rsidR="00266157">
        <w:rPr>
          <w:rFonts w:cs="Times New Roman"/>
        </w:rPr>
        <w:t xml:space="preserve"> percentuálnych bodov. O</w:t>
      </w:r>
      <w:r w:rsidR="00C23618" w:rsidRPr="00E56BC1">
        <w:rPr>
          <w:rFonts w:cs="Times New Roman"/>
        </w:rPr>
        <w:t>kolité krajiny nepocítili podobný výrazný pokles, prevažne iba sezónne fluktuácie</w:t>
      </w:r>
      <w:r w:rsidR="009B3981" w:rsidRPr="00E56BC1">
        <w:rPr>
          <w:rFonts w:cs="Times New Roman"/>
        </w:rPr>
        <w:t xml:space="preserve"> a Maďarsko sa dnes dokonca nachádza na úrovni, ktorá je o 3,9% vyššia než na začiatku roka 2008</w:t>
      </w:r>
      <w:r w:rsidR="00C23618" w:rsidRPr="00E56BC1">
        <w:rPr>
          <w:rFonts w:cs="Times New Roman"/>
        </w:rPr>
        <w:t>. N</w:t>
      </w:r>
      <w:r w:rsidR="00701EFA" w:rsidRPr="00E56BC1">
        <w:rPr>
          <w:rFonts w:cs="Times New Roman"/>
        </w:rPr>
        <w:t xml:space="preserve">árast od roku 2011 priblížil Slovensko k priemeru Eurozóny a Európskej </w:t>
      </w:r>
      <w:r w:rsidR="00C23618" w:rsidRPr="00E56BC1">
        <w:rPr>
          <w:rFonts w:cs="Times New Roman"/>
        </w:rPr>
        <w:t>Únie, na rozdiel 7</w:t>
      </w:r>
      <w:r w:rsidR="00266157">
        <w:rPr>
          <w:rFonts w:cs="Times New Roman"/>
        </w:rPr>
        <w:t xml:space="preserve"> </w:t>
      </w:r>
      <w:proofErr w:type="spellStart"/>
      <w:r w:rsidR="00266157">
        <w:rPr>
          <w:rFonts w:cs="Times New Roman"/>
        </w:rPr>
        <w:t>perc</w:t>
      </w:r>
      <w:proofErr w:type="spellEnd"/>
      <w:r w:rsidR="00266157">
        <w:rPr>
          <w:rFonts w:cs="Times New Roman"/>
        </w:rPr>
        <w:t>. bodov</w:t>
      </w:r>
      <w:r w:rsidR="00C23618" w:rsidRPr="00E56BC1">
        <w:rPr>
          <w:rFonts w:cs="Times New Roman"/>
        </w:rPr>
        <w:t>, resp. 9</w:t>
      </w:r>
      <w:r w:rsidR="00266157">
        <w:rPr>
          <w:rFonts w:cs="Times New Roman"/>
        </w:rPr>
        <w:t xml:space="preserve"> </w:t>
      </w:r>
      <w:proofErr w:type="spellStart"/>
      <w:r w:rsidR="00266157">
        <w:rPr>
          <w:rFonts w:cs="Times New Roman"/>
        </w:rPr>
        <w:t>perc</w:t>
      </w:r>
      <w:proofErr w:type="spellEnd"/>
      <w:r w:rsidR="00266157">
        <w:rPr>
          <w:rFonts w:cs="Times New Roman"/>
        </w:rPr>
        <w:t>. bodov.</w:t>
      </w:r>
    </w:p>
    <w:p w:rsidR="00701EFA" w:rsidRPr="00E56BC1" w:rsidRDefault="00701EFA" w:rsidP="00D158C5">
      <w:pPr>
        <w:rPr>
          <w:rFonts w:cs="Times New Roman"/>
        </w:rPr>
      </w:pPr>
    </w:p>
    <w:p w:rsidR="00857D20" w:rsidRDefault="00857D20">
      <w:pPr>
        <w:rPr>
          <w:rFonts w:cs="Times New Roman"/>
        </w:rPr>
      </w:pPr>
      <w:r>
        <w:rPr>
          <w:rFonts w:cs="Times New Roman"/>
        </w:rPr>
        <w:br w:type="page"/>
      </w:r>
    </w:p>
    <w:p w:rsidR="00CE1B95" w:rsidRPr="00FA387F" w:rsidRDefault="00CE1B95" w:rsidP="00CE1B95">
      <w:pPr>
        <w:spacing w:after="0"/>
        <w:rPr>
          <w:rFonts w:cs="Times New Roman"/>
        </w:rPr>
      </w:pPr>
      <w:r w:rsidRPr="00FA387F">
        <w:rPr>
          <w:rFonts w:cs="Times New Roman"/>
        </w:rPr>
        <w:lastRenderedPageBreak/>
        <w:t xml:space="preserve">Graf </w:t>
      </w:r>
      <w:r w:rsidR="001F3692">
        <w:rPr>
          <w:rFonts w:cs="Times New Roman"/>
        </w:rPr>
        <w:t>20</w:t>
      </w:r>
      <w:r w:rsidRPr="00FA387F">
        <w:rPr>
          <w:rFonts w:cs="Times New Roman"/>
        </w:rPr>
        <w:t>: Miera zamestnanosti vybraných skupín podľa vzdelania (v %)</w:t>
      </w:r>
    </w:p>
    <w:p w:rsidR="006F3283" w:rsidRPr="00E56BC1" w:rsidRDefault="00060B80" w:rsidP="00CE1B95">
      <w:pPr>
        <w:spacing w:after="0"/>
        <w:rPr>
          <w:rFonts w:cs="Times New Roman"/>
        </w:rPr>
      </w:pPr>
      <w:r>
        <w:rPr>
          <w:noProof/>
          <w:lang w:val="en-US"/>
        </w:rPr>
        <w:drawing>
          <wp:inline distT="0" distB="0" distL="0" distR="0" wp14:anchorId="6211BDA9" wp14:editId="2147BECE">
            <wp:extent cx="5760720" cy="3546707"/>
            <wp:effectExtent l="0" t="0" r="11430" b="15875"/>
            <wp:docPr id="32" name="Graf 3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CE1B95" w:rsidRDefault="00CE1B95" w:rsidP="00CE1B95">
      <w:pPr>
        <w:tabs>
          <w:tab w:val="left" w:pos="1035"/>
        </w:tabs>
        <w:spacing w:after="0"/>
        <w:rPr>
          <w:rFonts w:cs="Times New Roman"/>
        </w:rPr>
      </w:pPr>
      <w:r>
        <w:rPr>
          <w:rFonts w:cs="Times New Roman"/>
        </w:rPr>
        <w:t xml:space="preserve">Zdroj: </w:t>
      </w:r>
      <w:r w:rsidR="009A3CC5">
        <w:rPr>
          <w:rFonts w:cs="Times New Roman"/>
        </w:rPr>
        <w:t>ŠÚ SR</w:t>
      </w:r>
    </w:p>
    <w:p w:rsidR="00BB2D46" w:rsidRDefault="00CE1B95" w:rsidP="00CE1B95">
      <w:pPr>
        <w:rPr>
          <w:rFonts w:cs="Times New Roman"/>
        </w:rPr>
      </w:pPr>
      <w:r>
        <w:rPr>
          <w:rFonts w:cs="Times New Roman"/>
        </w:rPr>
        <w:t xml:space="preserve">Poznámka: Miera zamestnanosti je vyššia v skupinách obyvateľstva s vyšším </w:t>
      </w:r>
      <w:r w:rsidR="00AC5BE6">
        <w:rPr>
          <w:rFonts w:cs="Times New Roman"/>
        </w:rPr>
        <w:t>vzdelaním.</w:t>
      </w:r>
    </w:p>
    <w:p w:rsidR="00404091" w:rsidRDefault="00404091" w:rsidP="009E2973">
      <w:pPr>
        <w:spacing w:after="0"/>
        <w:rPr>
          <w:rFonts w:cs="Times New Roman"/>
        </w:rPr>
      </w:pPr>
    </w:p>
    <w:p w:rsidR="00AC5BE6" w:rsidRDefault="00AC5BE6" w:rsidP="009E2973">
      <w:pPr>
        <w:spacing w:after="0"/>
        <w:rPr>
          <w:rFonts w:cs="Times New Roman"/>
        </w:rPr>
      </w:pPr>
      <w:r>
        <w:rPr>
          <w:rFonts w:cs="Times New Roman"/>
        </w:rPr>
        <w:t xml:space="preserve">Graf </w:t>
      </w:r>
      <w:r w:rsidR="00F34BC3">
        <w:rPr>
          <w:rFonts w:cs="Times New Roman"/>
        </w:rPr>
        <w:t>2</w:t>
      </w:r>
      <w:r w:rsidR="001F3692">
        <w:rPr>
          <w:rFonts w:cs="Times New Roman"/>
        </w:rPr>
        <w:t>1</w:t>
      </w:r>
      <w:r>
        <w:rPr>
          <w:rFonts w:cs="Times New Roman"/>
        </w:rPr>
        <w:t>: Počet pracujúcich podľa vzdelania (v tis.)</w:t>
      </w:r>
    </w:p>
    <w:p w:rsidR="00AC5BE6" w:rsidRDefault="00A22BE3" w:rsidP="009E2973">
      <w:pPr>
        <w:spacing w:after="0"/>
        <w:rPr>
          <w:rFonts w:cs="Times New Roman"/>
        </w:rPr>
      </w:pPr>
      <w:r>
        <w:rPr>
          <w:noProof/>
          <w:lang w:val="en-US"/>
        </w:rPr>
        <w:drawing>
          <wp:inline distT="0" distB="0" distL="0" distR="0" wp14:anchorId="38A5D12E" wp14:editId="64B78631">
            <wp:extent cx="5760720" cy="3071445"/>
            <wp:effectExtent l="0" t="0" r="11430" b="15240"/>
            <wp:docPr id="33" name="Graf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A22BE3" w:rsidRDefault="00A22BE3" w:rsidP="00A22BE3">
      <w:pPr>
        <w:tabs>
          <w:tab w:val="left" w:pos="1035"/>
        </w:tabs>
        <w:spacing w:after="0"/>
        <w:rPr>
          <w:rFonts w:cs="Times New Roman"/>
        </w:rPr>
      </w:pPr>
      <w:r>
        <w:rPr>
          <w:rFonts w:cs="Times New Roman"/>
        </w:rPr>
        <w:t>Zdroj: ŠÚ SR</w:t>
      </w:r>
    </w:p>
    <w:p w:rsidR="009A3CC5" w:rsidRDefault="00A22BE3" w:rsidP="00A22BE3">
      <w:pPr>
        <w:rPr>
          <w:rFonts w:cs="Times New Roman"/>
        </w:rPr>
      </w:pPr>
      <w:r>
        <w:rPr>
          <w:rFonts w:cs="Times New Roman"/>
        </w:rPr>
        <w:t xml:space="preserve">Poznámka: </w:t>
      </w:r>
      <w:r w:rsidR="00404091">
        <w:rPr>
          <w:rFonts w:cs="Times New Roman"/>
        </w:rPr>
        <w:t>Z hľadiska početnosti zamestnaných sú rozhodujúcimi skupinami ľudia s úplným stredným odborným vzdelaním, učňovským vzdelaním bez maturity a s vysokoškolským vzdelaním druhého stupňa.</w:t>
      </w:r>
      <w:r w:rsidR="009A3CC5">
        <w:rPr>
          <w:rFonts w:cs="Times New Roman"/>
        </w:rPr>
        <w:br w:type="page"/>
      </w:r>
    </w:p>
    <w:p w:rsidR="00505B52" w:rsidRDefault="00505B52" w:rsidP="00E60EDB">
      <w:pPr>
        <w:tabs>
          <w:tab w:val="left" w:pos="1530"/>
        </w:tabs>
        <w:spacing w:after="0"/>
        <w:rPr>
          <w:rFonts w:cs="Times New Roman"/>
        </w:rPr>
      </w:pPr>
      <w:r>
        <w:rPr>
          <w:rFonts w:cs="Times New Roman"/>
        </w:rPr>
        <w:lastRenderedPageBreak/>
        <w:t xml:space="preserve">Graf </w:t>
      </w:r>
      <w:r w:rsidR="00F34BC3">
        <w:rPr>
          <w:rFonts w:cs="Times New Roman"/>
        </w:rPr>
        <w:t>2</w:t>
      </w:r>
      <w:r w:rsidR="001F3692">
        <w:rPr>
          <w:rFonts w:cs="Times New Roman"/>
        </w:rPr>
        <w:t>2</w:t>
      </w:r>
      <w:r>
        <w:rPr>
          <w:rFonts w:cs="Times New Roman"/>
        </w:rPr>
        <w:t>: Pracujúci podľa ekonomických činností</w:t>
      </w:r>
    </w:p>
    <w:p w:rsidR="00505B52" w:rsidRDefault="00505B52" w:rsidP="00E60EDB">
      <w:pPr>
        <w:tabs>
          <w:tab w:val="left" w:pos="1530"/>
        </w:tabs>
        <w:spacing w:after="0"/>
        <w:rPr>
          <w:rFonts w:cs="Times New Roman"/>
        </w:rPr>
      </w:pPr>
      <w:r>
        <w:rPr>
          <w:noProof/>
          <w:lang w:val="en-US"/>
        </w:rPr>
        <w:drawing>
          <wp:inline distT="0" distB="0" distL="0" distR="0" wp14:anchorId="765CE89E" wp14:editId="146B4B8C">
            <wp:extent cx="5760720" cy="3285803"/>
            <wp:effectExtent l="0" t="0" r="11430" b="10160"/>
            <wp:docPr id="3" name="Graf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505B52" w:rsidRDefault="00505B52" w:rsidP="00505B52">
      <w:pPr>
        <w:tabs>
          <w:tab w:val="left" w:pos="1035"/>
        </w:tabs>
        <w:spacing w:after="0"/>
        <w:rPr>
          <w:rFonts w:cs="Times New Roman"/>
        </w:rPr>
      </w:pPr>
      <w:r>
        <w:rPr>
          <w:rFonts w:cs="Times New Roman"/>
        </w:rPr>
        <w:t>Zdroj: ŠÚ SR</w:t>
      </w:r>
    </w:p>
    <w:p w:rsidR="00505B52" w:rsidRDefault="00505B52" w:rsidP="00505B52">
      <w:pPr>
        <w:tabs>
          <w:tab w:val="left" w:pos="1530"/>
        </w:tabs>
        <w:spacing w:after="0"/>
        <w:rPr>
          <w:rFonts w:cs="Times New Roman"/>
        </w:rPr>
      </w:pPr>
      <w:r>
        <w:rPr>
          <w:rFonts w:cs="Times New Roman"/>
        </w:rPr>
        <w:t>Poznámka: O</w:t>
      </w:r>
      <w:r w:rsidRPr="00E56BC1">
        <w:rPr>
          <w:rFonts w:cs="Times New Roman"/>
        </w:rPr>
        <w:t xml:space="preserve">d </w:t>
      </w:r>
      <w:r>
        <w:rPr>
          <w:rFonts w:cs="Times New Roman"/>
        </w:rPr>
        <w:t xml:space="preserve">konca roku </w:t>
      </w:r>
      <w:r w:rsidRPr="00E56BC1">
        <w:rPr>
          <w:rFonts w:cs="Times New Roman"/>
        </w:rPr>
        <w:t xml:space="preserve">2014 zaznamenala najväčší nárast </w:t>
      </w:r>
      <w:r>
        <w:rPr>
          <w:rFonts w:cs="Times New Roman"/>
        </w:rPr>
        <w:t xml:space="preserve">zamestnanosti priemyselná výroba. Celkovo počet </w:t>
      </w:r>
      <w:r w:rsidR="006256C3">
        <w:rPr>
          <w:rFonts w:cs="Times New Roman"/>
        </w:rPr>
        <w:t>pracujúcich</w:t>
      </w:r>
      <w:r>
        <w:rPr>
          <w:rFonts w:cs="Times New Roman"/>
        </w:rPr>
        <w:t xml:space="preserve"> stúpol z </w:t>
      </w:r>
      <w:r w:rsidR="006256C3">
        <w:rPr>
          <w:rFonts w:cs="Times New Roman"/>
        </w:rPr>
        <w:t>2327</w:t>
      </w:r>
      <w:r>
        <w:rPr>
          <w:rFonts w:cs="Times New Roman"/>
        </w:rPr>
        <w:t>-tisíc v 4. štvrťroku 2013 na 2</w:t>
      </w:r>
      <w:r w:rsidR="006256C3">
        <w:rPr>
          <w:rFonts w:cs="Times New Roman"/>
        </w:rPr>
        <w:t>392</w:t>
      </w:r>
      <w:r>
        <w:rPr>
          <w:rFonts w:cs="Times New Roman"/>
        </w:rPr>
        <w:t>-tisíc v 1. štvrťroku 2015, teda o 6</w:t>
      </w:r>
      <w:r w:rsidR="006256C3">
        <w:rPr>
          <w:rFonts w:cs="Times New Roman"/>
        </w:rPr>
        <w:t>5</w:t>
      </w:r>
      <w:r>
        <w:rPr>
          <w:rFonts w:cs="Times New Roman"/>
        </w:rPr>
        <w:t>-tisíc. Len v priemyselnej výrobe stúpol v rovnakom čase počet zamestnaných o 4</w:t>
      </w:r>
      <w:r w:rsidR="006256C3">
        <w:rPr>
          <w:rFonts w:cs="Times New Roman"/>
        </w:rPr>
        <w:t>8</w:t>
      </w:r>
      <w:r>
        <w:rPr>
          <w:rFonts w:cs="Times New Roman"/>
        </w:rPr>
        <w:t>-tisíc. Druhý najväčší nárast o 16-tisíc bol vo verejnej správe a obrane. Naopak k najväčšiemu poklesu došlo v stavebníctve (o 1</w:t>
      </w:r>
      <w:r w:rsidR="006256C3">
        <w:rPr>
          <w:rFonts w:cs="Times New Roman"/>
        </w:rPr>
        <w:t>4,4</w:t>
      </w:r>
      <w:r>
        <w:rPr>
          <w:rFonts w:cs="Times New Roman"/>
        </w:rPr>
        <w:t xml:space="preserve">-tisíc) a v obchode (o </w:t>
      </w:r>
      <w:r w:rsidR="006256C3">
        <w:rPr>
          <w:rFonts w:cs="Times New Roman"/>
        </w:rPr>
        <w:t>13,6</w:t>
      </w:r>
      <w:r>
        <w:rPr>
          <w:rFonts w:cs="Times New Roman"/>
        </w:rPr>
        <w:t>-tisíc).</w:t>
      </w:r>
    </w:p>
    <w:p w:rsidR="00505B52" w:rsidRDefault="00505B52">
      <w:pPr>
        <w:rPr>
          <w:rFonts w:cs="Times New Roman"/>
        </w:rPr>
      </w:pPr>
      <w:r>
        <w:rPr>
          <w:rFonts w:cs="Times New Roman"/>
        </w:rPr>
        <w:br w:type="page"/>
      </w:r>
    </w:p>
    <w:p w:rsidR="006B35EF" w:rsidRPr="00E56BC1" w:rsidRDefault="00210770" w:rsidP="000E4259">
      <w:pPr>
        <w:spacing w:after="0"/>
        <w:rPr>
          <w:rFonts w:eastAsia="Times New Roman" w:cs="Times New Roman"/>
          <w:color w:val="000000"/>
          <w:lang w:eastAsia="sk-SK"/>
        </w:rPr>
      </w:pPr>
      <w:r>
        <w:rPr>
          <w:rFonts w:eastAsia="Times New Roman" w:cs="Times New Roman"/>
          <w:color w:val="000000"/>
          <w:lang w:eastAsia="sk-SK"/>
        </w:rPr>
        <w:lastRenderedPageBreak/>
        <w:t>Graf 2</w:t>
      </w:r>
      <w:r w:rsidR="001F3692">
        <w:rPr>
          <w:rFonts w:eastAsia="Times New Roman" w:cs="Times New Roman"/>
          <w:color w:val="000000"/>
          <w:lang w:eastAsia="sk-SK"/>
        </w:rPr>
        <w:t>3</w:t>
      </w:r>
      <w:r w:rsidR="000E4259">
        <w:rPr>
          <w:rFonts w:eastAsia="Times New Roman" w:cs="Times New Roman"/>
          <w:color w:val="000000"/>
          <w:lang w:eastAsia="sk-SK"/>
        </w:rPr>
        <w:t>: Počet nezamestnaných v tisícoch podľa dĺžky trvania nezamestnanosti</w:t>
      </w:r>
    </w:p>
    <w:p w:rsidR="006B35EF" w:rsidRPr="00E56BC1" w:rsidRDefault="000E4259" w:rsidP="000E4259">
      <w:pPr>
        <w:tabs>
          <w:tab w:val="left" w:pos="1530"/>
        </w:tabs>
        <w:spacing w:after="0"/>
        <w:rPr>
          <w:rFonts w:cs="Times New Roman"/>
        </w:rPr>
      </w:pPr>
      <w:r>
        <w:rPr>
          <w:noProof/>
          <w:lang w:val="en-US"/>
        </w:rPr>
        <w:drawing>
          <wp:inline distT="0" distB="0" distL="0" distR="0" wp14:anchorId="0D2B2A9F" wp14:editId="3379A569">
            <wp:extent cx="5760720" cy="3081244"/>
            <wp:effectExtent l="0" t="0" r="11430" b="24130"/>
            <wp:docPr id="7" name="Graf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0E4259" w:rsidRDefault="000E4259" w:rsidP="000E4259">
      <w:pPr>
        <w:tabs>
          <w:tab w:val="left" w:pos="1035"/>
        </w:tabs>
        <w:spacing w:after="0"/>
        <w:rPr>
          <w:rFonts w:cs="Times New Roman"/>
        </w:rPr>
      </w:pPr>
      <w:r>
        <w:rPr>
          <w:rFonts w:cs="Times New Roman"/>
        </w:rPr>
        <w:t>Zdroj: ŠÚ SR</w:t>
      </w:r>
    </w:p>
    <w:p w:rsidR="002A54BD" w:rsidRDefault="002A54BD">
      <w:pPr>
        <w:rPr>
          <w:rFonts w:cs="Times New Roman"/>
        </w:rPr>
      </w:pPr>
    </w:p>
    <w:p w:rsidR="002A54BD" w:rsidRDefault="002A54BD" w:rsidP="002A54BD">
      <w:pPr>
        <w:spacing w:after="0"/>
        <w:rPr>
          <w:rFonts w:cs="Times New Roman"/>
        </w:rPr>
      </w:pPr>
      <w:r>
        <w:rPr>
          <w:rFonts w:cs="Times New Roman"/>
        </w:rPr>
        <w:t>Graf 2</w:t>
      </w:r>
      <w:r w:rsidR="001F3692">
        <w:rPr>
          <w:rFonts w:cs="Times New Roman"/>
        </w:rPr>
        <w:t>4</w:t>
      </w:r>
      <w:r>
        <w:rPr>
          <w:rFonts w:cs="Times New Roman"/>
        </w:rPr>
        <w:t xml:space="preserve">: </w:t>
      </w:r>
      <w:r>
        <w:rPr>
          <w:rFonts w:eastAsia="Times New Roman" w:cs="Times New Roman"/>
          <w:color w:val="000000"/>
          <w:lang w:eastAsia="sk-SK"/>
        </w:rPr>
        <w:t>Počet nezamestnaných v tisícoch podľa dĺžky trvania nezamestnanosti</w:t>
      </w:r>
    </w:p>
    <w:p w:rsidR="002A54BD" w:rsidRDefault="002A54BD" w:rsidP="002A54BD">
      <w:pPr>
        <w:tabs>
          <w:tab w:val="left" w:pos="1035"/>
        </w:tabs>
        <w:spacing w:after="0"/>
        <w:rPr>
          <w:rFonts w:cs="Times New Roman"/>
        </w:rPr>
      </w:pPr>
      <w:r>
        <w:rPr>
          <w:noProof/>
          <w:lang w:val="en-US"/>
        </w:rPr>
        <w:drawing>
          <wp:inline distT="0" distB="0" distL="0" distR="0" wp14:anchorId="38E9A21D" wp14:editId="75FD17FC">
            <wp:extent cx="5760720" cy="3081244"/>
            <wp:effectExtent l="0" t="0" r="11430" b="24130"/>
            <wp:docPr id="9" name="Graf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  <w:r>
        <w:rPr>
          <w:rFonts w:cs="Times New Roman"/>
        </w:rPr>
        <w:t>Zdroj: ŠÚ SR</w:t>
      </w:r>
    </w:p>
    <w:p w:rsidR="00714FDC" w:rsidRDefault="002A54BD" w:rsidP="002A54BD">
      <w:pPr>
        <w:rPr>
          <w:rFonts w:cs="Times New Roman"/>
        </w:rPr>
      </w:pPr>
      <w:r>
        <w:rPr>
          <w:rFonts w:cs="Times New Roman"/>
        </w:rPr>
        <w:t>Poznámka: Výrazne najviac nezamestnaných nemá prácu dlhšie než dva roky (ich podiel klesol z 51% v poslednom štvrťroku 2013 na 43% v prvom štvrťroku 2015). Počet dlhodobo nezamestnaných od konca roku 2013 klesá, stále je však nad predkrízovou úrovňou z roku 2008.</w:t>
      </w:r>
      <w:r w:rsidR="00714FDC">
        <w:rPr>
          <w:rFonts w:cs="Times New Roman"/>
        </w:rPr>
        <w:br w:type="page"/>
      </w:r>
    </w:p>
    <w:p w:rsidR="00714FDC" w:rsidRDefault="00714FDC" w:rsidP="00714FDC">
      <w:pPr>
        <w:tabs>
          <w:tab w:val="left" w:pos="1530"/>
        </w:tabs>
        <w:spacing w:after="0"/>
        <w:rPr>
          <w:rFonts w:cs="Times New Roman"/>
        </w:rPr>
      </w:pPr>
      <w:r>
        <w:rPr>
          <w:rFonts w:cs="Times New Roman"/>
        </w:rPr>
        <w:lastRenderedPageBreak/>
        <w:t>Graf 2</w:t>
      </w:r>
      <w:r w:rsidR="001F3692">
        <w:rPr>
          <w:rFonts w:cs="Times New Roman"/>
        </w:rPr>
        <w:t>5</w:t>
      </w:r>
      <w:r>
        <w:rPr>
          <w:rFonts w:cs="Times New Roman"/>
        </w:rPr>
        <w:t>: Voľné pracovné miesta</w:t>
      </w:r>
    </w:p>
    <w:p w:rsidR="00714FDC" w:rsidRDefault="00714FDC" w:rsidP="00714FDC">
      <w:pPr>
        <w:tabs>
          <w:tab w:val="left" w:pos="1530"/>
        </w:tabs>
        <w:spacing w:after="0"/>
        <w:rPr>
          <w:rFonts w:cs="Times New Roman"/>
        </w:rPr>
      </w:pPr>
      <w:r>
        <w:rPr>
          <w:noProof/>
          <w:lang w:val="en-US"/>
        </w:rPr>
        <w:drawing>
          <wp:inline distT="0" distB="0" distL="0" distR="0" wp14:anchorId="4D099DCB" wp14:editId="4B49834E">
            <wp:extent cx="4262437" cy="1962150"/>
            <wp:effectExtent l="0" t="0" r="24130" b="19050"/>
            <wp:docPr id="38" name="Graf 3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:rsidR="00714FDC" w:rsidRDefault="00714FDC" w:rsidP="00152E6B">
      <w:pPr>
        <w:tabs>
          <w:tab w:val="left" w:pos="1530"/>
        </w:tabs>
        <w:rPr>
          <w:rFonts w:cs="Times New Roman"/>
        </w:rPr>
      </w:pPr>
      <w:r>
        <w:rPr>
          <w:rFonts w:cs="Times New Roman"/>
        </w:rPr>
        <w:t>Zdroj: ŠÚ SR</w:t>
      </w:r>
    </w:p>
    <w:p w:rsidR="00654FC8" w:rsidRDefault="00654FC8">
      <w:pPr>
        <w:rPr>
          <w:rFonts w:cs="Times New Roman"/>
        </w:rPr>
      </w:pPr>
    </w:p>
    <w:p w:rsidR="00654FC8" w:rsidRPr="00E56BC1" w:rsidRDefault="00654FC8" w:rsidP="00654FC8">
      <w:pPr>
        <w:spacing w:after="0"/>
        <w:rPr>
          <w:rFonts w:cs="Times New Roman"/>
        </w:rPr>
      </w:pPr>
      <w:r w:rsidRPr="00E56BC1">
        <w:rPr>
          <w:rFonts w:cs="Times New Roman"/>
        </w:rPr>
        <w:t xml:space="preserve">Graf </w:t>
      </w:r>
      <w:r>
        <w:rPr>
          <w:rFonts w:cs="Times New Roman"/>
        </w:rPr>
        <w:t>2</w:t>
      </w:r>
      <w:r w:rsidR="008026C3">
        <w:rPr>
          <w:rFonts w:cs="Times New Roman"/>
        </w:rPr>
        <w:t>6</w:t>
      </w:r>
      <w:r w:rsidRPr="00E56BC1">
        <w:rPr>
          <w:rFonts w:cs="Times New Roman"/>
        </w:rPr>
        <w:t xml:space="preserve">: Porovnanie miery nezamestnanosti </w:t>
      </w:r>
      <w:proofErr w:type="spellStart"/>
      <w:r w:rsidRPr="00E56BC1">
        <w:rPr>
          <w:rFonts w:cs="Times New Roman"/>
        </w:rPr>
        <w:t>ÚPS</w:t>
      </w:r>
      <w:r>
        <w:rPr>
          <w:rFonts w:cs="Times New Roman"/>
        </w:rPr>
        <w:t>V</w:t>
      </w:r>
      <w:r w:rsidRPr="00E56BC1">
        <w:rPr>
          <w:rFonts w:cs="Times New Roman"/>
        </w:rPr>
        <w:t>aR</w:t>
      </w:r>
      <w:proofErr w:type="spellEnd"/>
      <w:r w:rsidRPr="00E56BC1">
        <w:rPr>
          <w:rFonts w:cs="Times New Roman"/>
        </w:rPr>
        <w:t xml:space="preserve"> a Štatistického Úradu SR </w:t>
      </w:r>
      <w:r>
        <w:rPr>
          <w:rFonts w:cs="Times New Roman"/>
        </w:rPr>
        <w:t>(</w:t>
      </w:r>
      <w:r w:rsidRPr="00E56BC1">
        <w:rPr>
          <w:rFonts w:cs="Times New Roman"/>
        </w:rPr>
        <w:t>v </w:t>
      </w:r>
      <w:r>
        <w:rPr>
          <w:rFonts w:cs="Times New Roman"/>
        </w:rPr>
        <w:t>%)</w:t>
      </w:r>
      <w:r w:rsidRPr="00E56BC1">
        <w:rPr>
          <w:rFonts w:cs="Times New Roman"/>
          <w:noProof/>
          <w:lang w:val="en-US"/>
        </w:rPr>
        <w:drawing>
          <wp:inline distT="0" distB="0" distL="0" distR="0" wp14:anchorId="2AF66C4C" wp14:editId="4AA55C4D">
            <wp:extent cx="5760720" cy="2949005"/>
            <wp:effectExtent l="0" t="0" r="0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49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FC8" w:rsidRDefault="00654FC8" w:rsidP="00654FC8">
      <w:pPr>
        <w:tabs>
          <w:tab w:val="left" w:pos="1035"/>
        </w:tabs>
        <w:spacing w:after="0"/>
        <w:rPr>
          <w:rFonts w:cs="Times New Roman"/>
        </w:rPr>
      </w:pPr>
      <w:r>
        <w:rPr>
          <w:rFonts w:cs="Times New Roman"/>
        </w:rPr>
        <w:t xml:space="preserve">Zdroj: ŠÚ SR, </w:t>
      </w:r>
      <w:proofErr w:type="spellStart"/>
      <w:r w:rsidRPr="00E56BC1">
        <w:rPr>
          <w:rFonts w:cs="Times New Roman"/>
        </w:rPr>
        <w:t>ÚPSVaR</w:t>
      </w:r>
      <w:proofErr w:type="spellEnd"/>
    </w:p>
    <w:p w:rsidR="00654FC8" w:rsidRPr="00E56BC1" w:rsidRDefault="00654FC8" w:rsidP="00654FC8">
      <w:pPr>
        <w:rPr>
          <w:rFonts w:cs="Times New Roman"/>
        </w:rPr>
      </w:pPr>
      <w:r>
        <w:rPr>
          <w:rFonts w:cs="Times New Roman"/>
        </w:rPr>
        <w:t>Poznámka: V rokoch 2003 až 2009 hlásil ŠÚ SR významne vyššiu mieru nezamestnanosti než úrady práce. Od roku 2011 sú rozdiely v oboch metodikách minimálne.</w:t>
      </w:r>
    </w:p>
    <w:p w:rsidR="00654FC8" w:rsidRDefault="00654FC8">
      <w:pPr>
        <w:rPr>
          <w:rFonts w:cs="Times New Roman"/>
        </w:rPr>
      </w:pPr>
      <w:r>
        <w:rPr>
          <w:rFonts w:cs="Times New Roman"/>
        </w:rPr>
        <w:br w:type="page"/>
      </w:r>
    </w:p>
    <w:p w:rsidR="00654FC8" w:rsidRPr="00E56BC1" w:rsidRDefault="00654FC8" w:rsidP="00654FC8">
      <w:pPr>
        <w:spacing w:after="0"/>
        <w:rPr>
          <w:rFonts w:cs="Times New Roman"/>
        </w:rPr>
      </w:pPr>
      <w:r>
        <w:rPr>
          <w:rFonts w:cs="Times New Roman"/>
        </w:rPr>
        <w:lastRenderedPageBreak/>
        <w:t xml:space="preserve">Graf </w:t>
      </w:r>
      <w:r w:rsidR="00EF25D8">
        <w:rPr>
          <w:rFonts w:cs="Times New Roman"/>
        </w:rPr>
        <w:t>2</w:t>
      </w:r>
      <w:r w:rsidR="008026C3">
        <w:rPr>
          <w:rFonts w:cs="Times New Roman"/>
        </w:rPr>
        <w:t>7</w:t>
      </w:r>
      <w:r w:rsidRPr="00E56BC1">
        <w:rPr>
          <w:rFonts w:cs="Times New Roman"/>
        </w:rPr>
        <w:t>: Porovnanie evidovanej a celkovej miery nezamestnanosti</w:t>
      </w:r>
      <w:r w:rsidRPr="00E56BC1">
        <w:rPr>
          <w:rFonts w:cs="Times New Roman"/>
        </w:rPr>
        <w:tab/>
      </w:r>
    </w:p>
    <w:p w:rsidR="00654FC8" w:rsidRPr="00E56BC1" w:rsidRDefault="00654FC8" w:rsidP="00654FC8">
      <w:pPr>
        <w:rPr>
          <w:rFonts w:cs="Times New Roman"/>
        </w:rPr>
      </w:pPr>
      <w:r w:rsidRPr="00E56BC1">
        <w:rPr>
          <w:rFonts w:cs="Times New Roman"/>
          <w:noProof/>
          <w:lang w:val="en-US"/>
        </w:rPr>
        <w:drawing>
          <wp:inline distT="0" distB="0" distL="0" distR="0" wp14:anchorId="6CE3DBF0" wp14:editId="7C796B6A">
            <wp:extent cx="5760720" cy="4281805"/>
            <wp:effectExtent l="0" t="0" r="0" b="4445"/>
            <wp:docPr id="8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ok 2"/>
                    <pic:cNvPicPr>
                      <a:picLocks noChangeAspect="1"/>
                    </pic:cNvPicPr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81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4FC8" w:rsidRDefault="00654FC8" w:rsidP="00654FC8">
      <w:pPr>
        <w:tabs>
          <w:tab w:val="left" w:pos="1035"/>
        </w:tabs>
        <w:spacing w:after="0"/>
        <w:rPr>
          <w:rFonts w:cs="Times New Roman"/>
        </w:rPr>
      </w:pPr>
      <w:r>
        <w:rPr>
          <w:rFonts w:cs="Times New Roman"/>
        </w:rPr>
        <w:t xml:space="preserve">Zdroj: </w:t>
      </w:r>
      <w:r w:rsidRPr="00E56BC1">
        <w:rPr>
          <w:rFonts w:cs="Times New Roman"/>
        </w:rPr>
        <w:t>Ú</w:t>
      </w:r>
      <w:r>
        <w:rPr>
          <w:rFonts w:cs="Times New Roman"/>
        </w:rPr>
        <w:t>stredie</w:t>
      </w:r>
      <w:r w:rsidRPr="00E56BC1">
        <w:rPr>
          <w:rFonts w:cs="Times New Roman"/>
        </w:rPr>
        <w:t xml:space="preserve"> práce, sociálnych vecí a rodiny </w:t>
      </w:r>
      <w:r>
        <w:rPr>
          <w:rFonts w:cs="Times New Roman"/>
        </w:rPr>
        <w:t>SR</w:t>
      </w:r>
    </w:p>
    <w:p w:rsidR="00654FC8" w:rsidRDefault="00654FC8" w:rsidP="00654FC8">
      <w:pPr>
        <w:tabs>
          <w:tab w:val="left" w:pos="1530"/>
        </w:tabs>
        <w:rPr>
          <w:rFonts w:cs="Times New Roman"/>
        </w:rPr>
      </w:pPr>
      <w:r>
        <w:rPr>
          <w:rFonts w:cs="Times New Roman"/>
        </w:rPr>
        <w:t xml:space="preserve">Poznámka: Rozdiel medzi celkovou a evidovanou mierou nezamestnanosti, ktoré vykazuje </w:t>
      </w:r>
      <w:proofErr w:type="spellStart"/>
      <w:r w:rsidRPr="00E56BC1">
        <w:rPr>
          <w:rFonts w:cs="Times New Roman"/>
        </w:rPr>
        <w:t>ÚPSVaR</w:t>
      </w:r>
      <w:proofErr w:type="spellEnd"/>
      <w:r>
        <w:rPr>
          <w:rFonts w:cs="Times New Roman"/>
        </w:rPr>
        <w:t xml:space="preserve">, </w:t>
      </w:r>
      <w:r w:rsidRPr="00E56BC1">
        <w:rPr>
          <w:rFonts w:cs="Times New Roman"/>
        </w:rPr>
        <w:t>sa pohybuje v rozmedzí 1,08% (máj 2008) až 1,77 (február a marec 2011). Dnes je rozdiel na úrovni 1,58%</w:t>
      </w:r>
      <w:r>
        <w:rPr>
          <w:rFonts w:cs="Times New Roman"/>
        </w:rPr>
        <w:t>. Rozdiel predstavujú ľudia vyradení</w:t>
      </w:r>
      <w:r w:rsidRPr="00E56BC1">
        <w:rPr>
          <w:rFonts w:cs="Times New Roman"/>
        </w:rPr>
        <w:t xml:space="preserve"> z evidencie </w:t>
      </w:r>
      <w:r>
        <w:rPr>
          <w:rFonts w:cs="Times New Roman"/>
        </w:rPr>
        <w:t xml:space="preserve">prevažne </w:t>
      </w:r>
      <w:r w:rsidRPr="00E56BC1">
        <w:rPr>
          <w:rFonts w:cs="Times New Roman"/>
        </w:rPr>
        <w:t xml:space="preserve">pre </w:t>
      </w:r>
      <w:proofErr w:type="spellStart"/>
      <w:r w:rsidRPr="00E56BC1">
        <w:rPr>
          <w:rFonts w:cs="Times New Roman"/>
        </w:rPr>
        <w:t>neaktivitu</w:t>
      </w:r>
      <w:proofErr w:type="spellEnd"/>
      <w:r w:rsidRPr="00E56BC1">
        <w:rPr>
          <w:rFonts w:cs="Times New Roman"/>
        </w:rPr>
        <w:t xml:space="preserve"> alebo neplnenie podmienok </w:t>
      </w:r>
      <w:proofErr w:type="spellStart"/>
      <w:r w:rsidRPr="00E56BC1">
        <w:rPr>
          <w:rFonts w:cs="Times New Roman"/>
        </w:rPr>
        <w:t>ÚPSVaR</w:t>
      </w:r>
      <w:proofErr w:type="spellEnd"/>
      <w:r w:rsidRPr="00E56BC1">
        <w:rPr>
          <w:rFonts w:cs="Times New Roman"/>
        </w:rPr>
        <w:t>.</w:t>
      </w:r>
    </w:p>
    <w:sectPr w:rsidR="00654FC8" w:rsidSect="006532E9">
      <w:headerReference w:type="default" r:id="rId37"/>
      <w:footerReference w:type="default" r:id="rId3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CF5" w:rsidRDefault="00120CF5" w:rsidP="006532E9">
      <w:pPr>
        <w:spacing w:after="0" w:line="240" w:lineRule="auto"/>
      </w:pPr>
      <w:r>
        <w:separator/>
      </w:r>
    </w:p>
  </w:endnote>
  <w:endnote w:type="continuationSeparator" w:id="0">
    <w:p w:rsidR="00120CF5" w:rsidRDefault="00120CF5" w:rsidP="00653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88462359"/>
      <w:docPartObj>
        <w:docPartGallery w:val="Page Numbers (Bottom of Page)"/>
        <w:docPartUnique/>
      </w:docPartObj>
    </w:sdtPr>
    <w:sdtEndPr/>
    <w:sdtContent>
      <w:p w:rsidR="00947CF7" w:rsidRDefault="00947CF7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2356">
          <w:rPr>
            <w:noProof/>
          </w:rPr>
          <w:t>7</w:t>
        </w:r>
        <w:r>
          <w:fldChar w:fldCharType="end"/>
        </w:r>
      </w:p>
    </w:sdtContent>
  </w:sdt>
  <w:p w:rsidR="00947CF7" w:rsidRDefault="00947CF7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CF5" w:rsidRDefault="00120CF5" w:rsidP="006532E9">
      <w:pPr>
        <w:spacing w:after="0" w:line="240" w:lineRule="auto"/>
      </w:pPr>
      <w:r>
        <w:separator/>
      </w:r>
    </w:p>
  </w:footnote>
  <w:footnote w:type="continuationSeparator" w:id="0">
    <w:p w:rsidR="00120CF5" w:rsidRDefault="00120CF5" w:rsidP="006532E9">
      <w:pPr>
        <w:spacing w:after="0" w:line="240" w:lineRule="auto"/>
      </w:pPr>
      <w:r>
        <w:continuationSeparator/>
      </w:r>
    </w:p>
  </w:footnote>
  <w:footnote w:id="1">
    <w:p w:rsidR="00947CF7" w:rsidRDefault="00947CF7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proofErr w:type="spellStart"/>
      <w:r w:rsidRPr="00FD02FF">
        <w:t>Podzamestnaní</w:t>
      </w:r>
      <w:proofErr w:type="spellEnd"/>
      <w:r w:rsidRPr="00FD02FF">
        <w:t xml:space="preserve"> podľa VZPS (od r. 2011 podľa definície </w:t>
      </w:r>
      <w:proofErr w:type="spellStart"/>
      <w:r w:rsidRPr="00FD02FF">
        <w:t>Eurostatu</w:t>
      </w:r>
      <w:proofErr w:type="spellEnd"/>
      <w:r w:rsidRPr="00FD02FF">
        <w:t xml:space="preserve">) </w:t>
      </w:r>
      <w:r>
        <w:t xml:space="preserve">predstavujú </w:t>
      </w:r>
      <w:r w:rsidRPr="00FD02FF">
        <w:t>osoby, ktoré v sledovanom týždni pracujú na kratší pracovný čas, chceli by však odpracovať viac hodín ako v súčasnosti a sú schopné nastúpiť do nového zamestnania do dvoch týždňov.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CF7" w:rsidRPr="006532E9" w:rsidRDefault="00947CF7" w:rsidP="006532E9">
    <w:pPr>
      <w:pStyle w:val="Hlavika"/>
      <w:jc w:val="center"/>
      <w:rPr>
        <w:rFonts w:ascii="Times New Roman" w:hAnsi="Times New Roman" w:cs="Times New Roman"/>
      </w:rPr>
    </w:pPr>
    <w:r w:rsidRPr="006532E9">
      <w:rPr>
        <w:rFonts w:ascii="Times New Roman" w:hAnsi="Times New Roman" w:cs="Times New Roman"/>
      </w:rPr>
      <w:t>Ako udržateľne zvyšovať zamestnanosť na Slovensku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F3C57"/>
    <w:multiLevelType w:val="hybridMultilevel"/>
    <w:tmpl w:val="4C803E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EB0E69"/>
    <w:multiLevelType w:val="hybridMultilevel"/>
    <w:tmpl w:val="E1DEB7F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71001C"/>
    <w:multiLevelType w:val="hybridMultilevel"/>
    <w:tmpl w:val="6F7EBBEA"/>
    <w:lvl w:ilvl="0" w:tplc="2974C26E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DD9"/>
    <w:rsid w:val="000003D0"/>
    <w:rsid w:val="00002510"/>
    <w:rsid w:val="00006233"/>
    <w:rsid w:val="00033A0C"/>
    <w:rsid w:val="00046552"/>
    <w:rsid w:val="00060B80"/>
    <w:rsid w:val="0006737D"/>
    <w:rsid w:val="00070D41"/>
    <w:rsid w:val="00081786"/>
    <w:rsid w:val="00084EC9"/>
    <w:rsid w:val="00085D98"/>
    <w:rsid w:val="00092576"/>
    <w:rsid w:val="0009289E"/>
    <w:rsid w:val="00097C33"/>
    <w:rsid w:val="000A6170"/>
    <w:rsid w:val="000A6460"/>
    <w:rsid w:val="000B122D"/>
    <w:rsid w:val="000B2A34"/>
    <w:rsid w:val="000D3E91"/>
    <w:rsid w:val="000E2D00"/>
    <w:rsid w:val="000E4259"/>
    <w:rsid w:val="001016F3"/>
    <w:rsid w:val="001100E5"/>
    <w:rsid w:val="00117AAA"/>
    <w:rsid w:val="00120CF5"/>
    <w:rsid w:val="001258E8"/>
    <w:rsid w:val="00136DD7"/>
    <w:rsid w:val="00137C07"/>
    <w:rsid w:val="0014589B"/>
    <w:rsid w:val="00152E6B"/>
    <w:rsid w:val="00156537"/>
    <w:rsid w:val="0015702C"/>
    <w:rsid w:val="00162585"/>
    <w:rsid w:val="001733E4"/>
    <w:rsid w:val="00185501"/>
    <w:rsid w:val="001B2356"/>
    <w:rsid w:val="001D2B22"/>
    <w:rsid w:val="001E740F"/>
    <w:rsid w:val="001F2C7A"/>
    <w:rsid w:val="001F3692"/>
    <w:rsid w:val="001F60A6"/>
    <w:rsid w:val="001F7886"/>
    <w:rsid w:val="00203D75"/>
    <w:rsid w:val="002059CC"/>
    <w:rsid w:val="00210770"/>
    <w:rsid w:val="002133AF"/>
    <w:rsid w:val="00222CA7"/>
    <w:rsid w:val="00224F18"/>
    <w:rsid w:val="0022688D"/>
    <w:rsid w:val="002332F2"/>
    <w:rsid w:val="002371F3"/>
    <w:rsid w:val="00242584"/>
    <w:rsid w:val="002554CF"/>
    <w:rsid w:val="00260E34"/>
    <w:rsid w:val="00266157"/>
    <w:rsid w:val="002773A0"/>
    <w:rsid w:val="002A54BD"/>
    <w:rsid w:val="002B07E1"/>
    <w:rsid w:val="002B19F4"/>
    <w:rsid w:val="002C39E3"/>
    <w:rsid w:val="002F0290"/>
    <w:rsid w:val="002F391F"/>
    <w:rsid w:val="003013CB"/>
    <w:rsid w:val="00306BC5"/>
    <w:rsid w:val="0032708A"/>
    <w:rsid w:val="00356659"/>
    <w:rsid w:val="00362A42"/>
    <w:rsid w:val="00363E4C"/>
    <w:rsid w:val="00365B26"/>
    <w:rsid w:val="00380465"/>
    <w:rsid w:val="00380C30"/>
    <w:rsid w:val="003909C6"/>
    <w:rsid w:val="00395C16"/>
    <w:rsid w:val="003A1449"/>
    <w:rsid w:val="003C20E2"/>
    <w:rsid w:val="003D0718"/>
    <w:rsid w:val="003D3E8D"/>
    <w:rsid w:val="003D4949"/>
    <w:rsid w:val="003D7ABD"/>
    <w:rsid w:val="003E3793"/>
    <w:rsid w:val="003E3DAF"/>
    <w:rsid w:val="003E4358"/>
    <w:rsid w:val="00403E29"/>
    <w:rsid w:val="00404091"/>
    <w:rsid w:val="0041689B"/>
    <w:rsid w:val="0042073B"/>
    <w:rsid w:val="00436B41"/>
    <w:rsid w:val="00436BCD"/>
    <w:rsid w:val="0043716E"/>
    <w:rsid w:val="00455AFE"/>
    <w:rsid w:val="0045793F"/>
    <w:rsid w:val="00464DD9"/>
    <w:rsid w:val="004658E4"/>
    <w:rsid w:val="00470232"/>
    <w:rsid w:val="00476D8B"/>
    <w:rsid w:val="00480C19"/>
    <w:rsid w:val="0048360A"/>
    <w:rsid w:val="004850DD"/>
    <w:rsid w:val="00491C22"/>
    <w:rsid w:val="004A56A5"/>
    <w:rsid w:val="004B1341"/>
    <w:rsid w:val="004C0EAC"/>
    <w:rsid w:val="004C256B"/>
    <w:rsid w:val="004D2C10"/>
    <w:rsid w:val="004D5103"/>
    <w:rsid w:val="004D7B40"/>
    <w:rsid w:val="004E3E4C"/>
    <w:rsid w:val="004E7C2A"/>
    <w:rsid w:val="005017F9"/>
    <w:rsid w:val="00505B52"/>
    <w:rsid w:val="00514CED"/>
    <w:rsid w:val="005254E9"/>
    <w:rsid w:val="0053032B"/>
    <w:rsid w:val="00546C63"/>
    <w:rsid w:val="00552B52"/>
    <w:rsid w:val="00556411"/>
    <w:rsid w:val="00556F3C"/>
    <w:rsid w:val="00557346"/>
    <w:rsid w:val="0056158E"/>
    <w:rsid w:val="00565A26"/>
    <w:rsid w:val="00582243"/>
    <w:rsid w:val="00582760"/>
    <w:rsid w:val="00591B19"/>
    <w:rsid w:val="005A5AC1"/>
    <w:rsid w:val="005D5DCE"/>
    <w:rsid w:val="005E18D7"/>
    <w:rsid w:val="005E2975"/>
    <w:rsid w:val="005F7402"/>
    <w:rsid w:val="00607EE9"/>
    <w:rsid w:val="00611037"/>
    <w:rsid w:val="006202D6"/>
    <w:rsid w:val="006256C3"/>
    <w:rsid w:val="006303E9"/>
    <w:rsid w:val="006518ED"/>
    <w:rsid w:val="006532E9"/>
    <w:rsid w:val="006546F4"/>
    <w:rsid w:val="00654FC8"/>
    <w:rsid w:val="0066428D"/>
    <w:rsid w:val="00672074"/>
    <w:rsid w:val="00675639"/>
    <w:rsid w:val="006808A5"/>
    <w:rsid w:val="0069272C"/>
    <w:rsid w:val="00694D0C"/>
    <w:rsid w:val="006A2118"/>
    <w:rsid w:val="006A582E"/>
    <w:rsid w:val="006B35EF"/>
    <w:rsid w:val="006B6F56"/>
    <w:rsid w:val="006D16A2"/>
    <w:rsid w:val="006D54D8"/>
    <w:rsid w:val="006E3D68"/>
    <w:rsid w:val="006E6F93"/>
    <w:rsid w:val="006F02E8"/>
    <w:rsid w:val="006F1317"/>
    <w:rsid w:val="006F2BCF"/>
    <w:rsid w:val="006F3283"/>
    <w:rsid w:val="006F53D3"/>
    <w:rsid w:val="00701EFA"/>
    <w:rsid w:val="00706C5A"/>
    <w:rsid w:val="00713D8F"/>
    <w:rsid w:val="00714FDC"/>
    <w:rsid w:val="007221B4"/>
    <w:rsid w:val="00735D3F"/>
    <w:rsid w:val="00761B45"/>
    <w:rsid w:val="00762B87"/>
    <w:rsid w:val="0076591A"/>
    <w:rsid w:val="00773353"/>
    <w:rsid w:val="007751B8"/>
    <w:rsid w:val="007764D7"/>
    <w:rsid w:val="0078339A"/>
    <w:rsid w:val="007A4564"/>
    <w:rsid w:val="007E35FE"/>
    <w:rsid w:val="007E377B"/>
    <w:rsid w:val="007E3EDE"/>
    <w:rsid w:val="007E66CB"/>
    <w:rsid w:val="008026C3"/>
    <w:rsid w:val="00810802"/>
    <w:rsid w:val="008134BC"/>
    <w:rsid w:val="0081468A"/>
    <w:rsid w:val="00815467"/>
    <w:rsid w:val="008252CB"/>
    <w:rsid w:val="008338FB"/>
    <w:rsid w:val="00834FBA"/>
    <w:rsid w:val="00857D20"/>
    <w:rsid w:val="00875D2A"/>
    <w:rsid w:val="008838DF"/>
    <w:rsid w:val="00895D6C"/>
    <w:rsid w:val="008A01D1"/>
    <w:rsid w:val="008A4ACF"/>
    <w:rsid w:val="008A5899"/>
    <w:rsid w:val="008B178B"/>
    <w:rsid w:val="008F01C0"/>
    <w:rsid w:val="008F475D"/>
    <w:rsid w:val="00901F2B"/>
    <w:rsid w:val="00906764"/>
    <w:rsid w:val="00927150"/>
    <w:rsid w:val="00932CA5"/>
    <w:rsid w:val="00932D4B"/>
    <w:rsid w:val="00941962"/>
    <w:rsid w:val="00947CF7"/>
    <w:rsid w:val="00952B56"/>
    <w:rsid w:val="00953420"/>
    <w:rsid w:val="00957725"/>
    <w:rsid w:val="00957D3B"/>
    <w:rsid w:val="00964628"/>
    <w:rsid w:val="00995889"/>
    <w:rsid w:val="0099746B"/>
    <w:rsid w:val="009A2372"/>
    <w:rsid w:val="009A3CC5"/>
    <w:rsid w:val="009A4F2F"/>
    <w:rsid w:val="009A5136"/>
    <w:rsid w:val="009B3981"/>
    <w:rsid w:val="009D1087"/>
    <w:rsid w:val="009E2973"/>
    <w:rsid w:val="009F3CF5"/>
    <w:rsid w:val="00A04A04"/>
    <w:rsid w:val="00A1409A"/>
    <w:rsid w:val="00A17752"/>
    <w:rsid w:val="00A22BE3"/>
    <w:rsid w:val="00A31DF2"/>
    <w:rsid w:val="00A3333C"/>
    <w:rsid w:val="00A46AA4"/>
    <w:rsid w:val="00A73405"/>
    <w:rsid w:val="00A76E7C"/>
    <w:rsid w:val="00A80D27"/>
    <w:rsid w:val="00A83CFB"/>
    <w:rsid w:val="00A843E2"/>
    <w:rsid w:val="00A87438"/>
    <w:rsid w:val="00A87AA7"/>
    <w:rsid w:val="00AA34FC"/>
    <w:rsid w:val="00AB2471"/>
    <w:rsid w:val="00AC5BE6"/>
    <w:rsid w:val="00AE3DDA"/>
    <w:rsid w:val="00B0143D"/>
    <w:rsid w:val="00B01CD7"/>
    <w:rsid w:val="00B12934"/>
    <w:rsid w:val="00B17C16"/>
    <w:rsid w:val="00B33535"/>
    <w:rsid w:val="00B33782"/>
    <w:rsid w:val="00B43654"/>
    <w:rsid w:val="00B4537A"/>
    <w:rsid w:val="00B518B9"/>
    <w:rsid w:val="00B9441F"/>
    <w:rsid w:val="00B954B4"/>
    <w:rsid w:val="00BA0CE7"/>
    <w:rsid w:val="00BB2D46"/>
    <w:rsid w:val="00BC1CBA"/>
    <w:rsid w:val="00BD2576"/>
    <w:rsid w:val="00BD63C3"/>
    <w:rsid w:val="00BF05D2"/>
    <w:rsid w:val="00BF47FE"/>
    <w:rsid w:val="00BF52A7"/>
    <w:rsid w:val="00BF5F3B"/>
    <w:rsid w:val="00BF7DE7"/>
    <w:rsid w:val="00C03119"/>
    <w:rsid w:val="00C1623D"/>
    <w:rsid w:val="00C23618"/>
    <w:rsid w:val="00C306E2"/>
    <w:rsid w:val="00C324A0"/>
    <w:rsid w:val="00C34095"/>
    <w:rsid w:val="00C400B0"/>
    <w:rsid w:val="00C7525F"/>
    <w:rsid w:val="00CA40DB"/>
    <w:rsid w:val="00CD7BF6"/>
    <w:rsid w:val="00CE0E46"/>
    <w:rsid w:val="00CE1B95"/>
    <w:rsid w:val="00CF0B3F"/>
    <w:rsid w:val="00D158C5"/>
    <w:rsid w:val="00D2681C"/>
    <w:rsid w:val="00D27D93"/>
    <w:rsid w:val="00D3531A"/>
    <w:rsid w:val="00D61E0D"/>
    <w:rsid w:val="00D72B39"/>
    <w:rsid w:val="00DC01FE"/>
    <w:rsid w:val="00DC15D8"/>
    <w:rsid w:val="00DC5DE5"/>
    <w:rsid w:val="00DD0BFB"/>
    <w:rsid w:val="00DE31BA"/>
    <w:rsid w:val="00DF3281"/>
    <w:rsid w:val="00E07CEE"/>
    <w:rsid w:val="00E10C91"/>
    <w:rsid w:val="00E158E7"/>
    <w:rsid w:val="00E23D45"/>
    <w:rsid w:val="00E27133"/>
    <w:rsid w:val="00E308D8"/>
    <w:rsid w:val="00E3378E"/>
    <w:rsid w:val="00E5289D"/>
    <w:rsid w:val="00E560B8"/>
    <w:rsid w:val="00E56BC1"/>
    <w:rsid w:val="00E60EDB"/>
    <w:rsid w:val="00E61418"/>
    <w:rsid w:val="00E670E1"/>
    <w:rsid w:val="00E75062"/>
    <w:rsid w:val="00E87A68"/>
    <w:rsid w:val="00E93D19"/>
    <w:rsid w:val="00EA53F7"/>
    <w:rsid w:val="00EA6E87"/>
    <w:rsid w:val="00EC0673"/>
    <w:rsid w:val="00EC0CA4"/>
    <w:rsid w:val="00EC31FA"/>
    <w:rsid w:val="00ED71BD"/>
    <w:rsid w:val="00EE4025"/>
    <w:rsid w:val="00EE62CC"/>
    <w:rsid w:val="00EF25D8"/>
    <w:rsid w:val="00EF718E"/>
    <w:rsid w:val="00F15A20"/>
    <w:rsid w:val="00F23838"/>
    <w:rsid w:val="00F239A3"/>
    <w:rsid w:val="00F32055"/>
    <w:rsid w:val="00F34BC3"/>
    <w:rsid w:val="00F53EBF"/>
    <w:rsid w:val="00F574BF"/>
    <w:rsid w:val="00F67E55"/>
    <w:rsid w:val="00F76B2E"/>
    <w:rsid w:val="00F8552B"/>
    <w:rsid w:val="00F85EE1"/>
    <w:rsid w:val="00F920A0"/>
    <w:rsid w:val="00FA387F"/>
    <w:rsid w:val="00FA74F6"/>
    <w:rsid w:val="00FC0DED"/>
    <w:rsid w:val="00FC6D45"/>
    <w:rsid w:val="00FD18D2"/>
    <w:rsid w:val="00FD41EF"/>
    <w:rsid w:val="00FF7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554CF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6532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6532E9"/>
  </w:style>
  <w:style w:type="paragraph" w:styleId="Pta">
    <w:name w:val="footer"/>
    <w:basedOn w:val="Normlny"/>
    <w:link w:val="PtaChar"/>
    <w:uiPriority w:val="99"/>
    <w:unhideWhenUsed/>
    <w:rsid w:val="006532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6532E9"/>
  </w:style>
  <w:style w:type="paragraph" w:styleId="Textbubliny">
    <w:name w:val="Balloon Text"/>
    <w:basedOn w:val="Normlny"/>
    <w:link w:val="TextbublinyChar"/>
    <w:uiPriority w:val="99"/>
    <w:semiHidden/>
    <w:unhideWhenUsed/>
    <w:rsid w:val="00A333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3333C"/>
    <w:rPr>
      <w:rFonts w:ascii="Tahoma" w:hAnsi="Tahoma" w:cs="Tahoma"/>
      <w:sz w:val="16"/>
      <w:szCs w:val="16"/>
    </w:rPr>
  </w:style>
  <w:style w:type="character" w:styleId="Hypertextovprepojenie">
    <w:name w:val="Hyperlink"/>
    <w:basedOn w:val="Predvolenpsmoodseku"/>
    <w:uiPriority w:val="99"/>
    <w:unhideWhenUsed/>
    <w:rsid w:val="00081786"/>
    <w:rPr>
      <w:color w:val="0563C1" w:themeColor="hyperlink"/>
      <w:u w:val="single"/>
    </w:rPr>
  </w:style>
  <w:style w:type="table" w:styleId="Mriekatabuky">
    <w:name w:val="Table Grid"/>
    <w:basedOn w:val="Normlnatabuka"/>
    <w:uiPriority w:val="59"/>
    <w:rsid w:val="00607E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8134BC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156537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156537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156537"/>
    <w:rPr>
      <w:vertAlign w:val="superscript"/>
    </w:rPr>
  </w:style>
  <w:style w:type="character" w:styleId="Siln">
    <w:name w:val="Strong"/>
    <w:basedOn w:val="Predvolenpsmoodseku"/>
    <w:uiPriority w:val="22"/>
    <w:qFormat/>
    <w:rsid w:val="00085D9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554CF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6532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6532E9"/>
  </w:style>
  <w:style w:type="paragraph" w:styleId="Pta">
    <w:name w:val="footer"/>
    <w:basedOn w:val="Normlny"/>
    <w:link w:val="PtaChar"/>
    <w:uiPriority w:val="99"/>
    <w:unhideWhenUsed/>
    <w:rsid w:val="006532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6532E9"/>
  </w:style>
  <w:style w:type="paragraph" w:styleId="Textbubliny">
    <w:name w:val="Balloon Text"/>
    <w:basedOn w:val="Normlny"/>
    <w:link w:val="TextbublinyChar"/>
    <w:uiPriority w:val="99"/>
    <w:semiHidden/>
    <w:unhideWhenUsed/>
    <w:rsid w:val="00A333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3333C"/>
    <w:rPr>
      <w:rFonts w:ascii="Tahoma" w:hAnsi="Tahoma" w:cs="Tahoma"/>
      <w:sz w:val="16"/>
      <w:szCs w:val="16"/>
    </w:rPr>
  </w:style>
  <w:style w:type="character" w:styleId="Hypertextovprepojenie">
    <w:name w:val="Hyperlink"/>
    <w:basedOn w:val="Predvolenpsmoodseku"/>
    <w:uiPriority w:val="99"/>
    <w:unhideWhenUsed/>
    <w:rsid w:val="00081786"/>
    <w:rPr>
      <w:color w:val="0563C1" w:themeColor="hyperlink"/>
      <w:u w:val="single"/>
    </w:rPr>
  </w:style>
  <w:style w:type="table" w:styleId="Mriekatabuky">
    <w:name w:val="Table Grid"/>
    <w:basedOn w:val="Normlnatabuka"/>
    <w:uiPriority w:val="59"/>
    <w:rsid w:val="00607E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8134BC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156537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156537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156537"/>
    <w:rPr>
      <w:vertAlign w:val="superscript"/>
    </w:rPr>
  </w:style>
  <w:style w:type="character" w:styleId="Siln">
    <w:name w:val="Strong"/>
    <w:basedOn w:val="Predvolenpsmoodseku"/>
    <w:uiPriority w:val="22"/>
    <w:qFormat/>
    <w:rsid w:val="00085D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3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0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2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06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12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4.xml"/><Relationship Id="rId18" Type="http://schemas.openxmlformats.org/officeDocument/2006/relationships/chart" Target="charts/chart9.xml"/><Relationship Id="rId26" Type="http://schemas.openxmlformats.org/officeDocument/2006/relationships/image" Target="media/image1.emf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hart" Target="charts/chart12.xml"/><Relationship Id="rId34" Type="http://schemas.openxmlformats.org/officeDocument/2006/relationships/chart" Target="charts/chart22.xml"/><Relationship Id="rId7" Type="http://schemas.openxmlformats.org/officeDocument/2006/relationships/footnotes" Target="footnotes.xml"/><Relationship Id="rId12" Type="http://schemas.openxmlformats.org/officeDocument/2006/relationships/chart" Target="charts/chart3.xml"/><Relationship Id="rId17" Type="http://schemas.openxmlformats.org/officeDocument/2006/relationships/chart" Target="charts/chart8.xml"/><Relationship Id="rId25" Type="http://schemas.openxmlformats.org/officeDocument/2006/relationships/chart" Target="charts/chart16.xml"/><Relationship Id="rId33" Type="http://schemas.openxmlformats.org/officeDocument/2006/relationships/chart" Target="charts/chart21.xml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chart" Target="charts/chart7.xml"/><Relationship Id="rId20" Type="http://schemas.openxmlformats.org/officeDocument/2006/relationships/chart" Target="charts/chart11.xml"/><Relationship Id="rId29" Type="http://schemas.openxmlformats.org/officeDocument/2006/relationships/chart" Target="charts/chart17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2.xml"/><Relationship Id="rId24" Type="http://schemas.openxmlformats.org/officeDocument/2006/relationships/chart" Target="charts/chart15.xml"/><Relationship Id="rId32" Type="http://schemas.openxmlformats.org/officeDocument/2006/relationships/chart" Target="charts/chart20.xml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chart" Target="charts/chart6.xml"/><Relationship Id="rId23" Type="http://schemas.openxmlformats.org/officeDocument/2006/relationships/chart" Target="charts/chart14.xml"/><Relationship Id="rId28" Type="http://schemas.openxmlformats.org/officeDocument/2006/relationships/image" Target="media/image3.emf"/><Relationship Id="rId36" Type="http://schemas.openxmlformats.org/officeDocument/2006/relationships/image" Target="media/image5.emf"/><Relationship Id="rId10" Type="http://schemas.openxmlformats.org/officeDocument/2006/relationships/chart" Target="charts/chart1.xml"/><Relationship Id="rId19" Type="http://schemas.openxmlformats.org/officeDocument/2006/relationships/chart" Target="charts/chart10.xml"/><Relationship Id="rId31" Type="http://schemas.openxmlformats.org/officeDocument/2006/relationships/chart" Target="charts/chart19.xml"/><Relationship Id="rId4" Type="http://schemas.microsoft.com/office/2007/relationships/stylesWithEffects" Target="stylesWithEffects.xml"/><Relationship Id="rId9" Type="http://schemas.openxmlformats.org/officeDocument/2006/relationships/hyperlink" Target="http://www.ineko.sk/projekty/ako-udrzatelne-zvysovat-zamestnanost" TargetMode="External"/><Relationship Id="rId14" Type="http://schemas.openxmlformats.org/officeDocument/2006/relationships/chart" Target="charts/chart5.xml"/><Relationship Id="rId22" Type="http://schemas.openxmlformats.org/officeDocument/2006/relationships/chart" Target="charts/chart13.xml"/><Relationship Id="rId27" Type="http://schemas.openxmlformats.org/officeDocument/2006/relationships/image" Target="media/image2.emf"/><Relationship Id="rId30" Type="http://schemas.openxmlformats.org/officeDocument/2006/relationships/chart" Target="charts/chart18.xml"/><Relationship Id="rId35" Type="http://schemas.openxmlformats.org/officeDocument/2006/relationships/image" Target="media/image4.emf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Moje%20dokumenty\Projekty\EK\V&#353;etky%20grafy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Moje%20dokumenty\Projekty\EK\V&#353;etky%20grafy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Moje%20dokumenty\Projekty\EK\Zamestnanos&#357;_Eurostat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Moje%20dokumenty\Projekty\EK\V&#353;etky%20grafy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Moje%20dokumenty\Projekty\EK\V&#353;etky%20grafy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Moje%20dokumenty\Projekty\EK\V&#353;etky%20grafy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Moje%20dokumenty\Projekty\EK\V&#353;etky%20grafy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Moje%20dokumenty\Projekty\EK\V&#353;etky%20grafy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Moje%20dokumenty\Projekty\EK\V&#353;etky%20grafy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Moje%20dokumenty\Projekty\EK\V&#353;etky%20grafy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Moje%20dokumenty\Projekty\EK\Part-time_Eurostat.xls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Moje%20dokumenty\Projekty\EK\Part-time_Eurostat.xls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Moje%20dokumenty\Projekty\EK\Part-time_Eurostat.xls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Moje%20dokumenty\Projekty\EK\Part-time_Eurostat.xls" TargetMode="Externa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Moje%20dokumenty\Projekty\EK\V&#353;etky%20grafy.xlsx" TargetMode="Externa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Moje%20dokumenty\Projekty\EK\Vybrane%20grafy.xlsx" TargetMode="Externa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Moje%20dokumenty\Projekty\EK\V&#353;etky%20grafy.xlsx" TargetMode="External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Moje%20dokumenty\Projekty\EK\V&#353;etky%20grafy.xlsx" TargetMode="External"/></Relationships>
</file>

<file path=word/charts/_rels/chart1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Moje%20dokumenty\Projekty\EK\V&#353;etky%20grafy.xlsx" TargetMode="External"/></Relationships>
</file>

<file path=word/charts/_rels/chart2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Moje%20dokumenty\Projekty\EK\V&#353;etky%20grafy.xlsx" TargetMode="External"/></Relationships>
</file>

<file path=word/charts/_rels/chart2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Moje%20dokumenty\Projekty\EK\V&#353;etky%20grafy.xlsx" TargetMode="External"/></Relationships>
</file>

<file path=word/charts/_rels/chart2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Moje%20dokumenty\Projekty\EK\V&#353;etky%20grafy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1"/>
          <c:order val="0"/>
          <c:tx>
            <c:strRef>
              <c:f>'Zamestnanost vs spotreba&amp;HDP'!$A$78</c:f>
              <c:strCache>
                <c:ptCount val="1"/>
                <c:pt idx="0">
                  <c:v>Miera zamestnanosti (v %)</c:v>
                </c:pt>
              </c:strCache>
            </c:strRef>
          </c:tx>
          <c:marker>
            <c:symbol val="none"/>
          </c:marker>
          <c:cat>
            <c:strRef>
              <c:f>'Zamestnanost vs spotreba&amp;HDP'!$Z$76:$CH$76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'Zamestnanost vs spotreba&amp;HDP'!$Z$78:$CH$78</c:f>
              <c:numCache>
                <c:formatCode>General</c:formatCode>
                <c:ptCount val="61"/>
                <c:pt idx="0">
                  <c:v>56.2</c:v>
                </c:pt>
                <c:pt idx="1">
                  <c:v>56</c:v>
                </c:pt>
                <c:pt idx="2">
                  <c:v>56.6</c:v>
                </c:pt>
                <c:pt idx="3">
                  <c:v>57</c:v>
                </c:pt>
                <c:pt idx="4">
                  <c:v>55.9</c:v>
                </c:pt>
                <c:pt idx="5">
                  <c:v>56.4</c:v>
                </c:pt>
                <c:pt idx="6">
                  <c:v>56.9</c:v>
                </c:pt>
                <c:pt idx="7">
                  <c:v>56.9</c:v>
                </c:pt>
                <c:pt idx="8">
                  <c:v>56</c:v>
                </c:pt>
                <c:pt idx="9">
                  <c:v>56.3</c:v>
                </c:pt>
                <c:pt idx="10">
                  <c:v>57</c:v>
                </c:pt>
                <c:pt idx="11">
                  <c:v>57.3</c:v>
                </c:pt>
                <c:pt idx="12">
                  <c:v>56.7</c:v>
                </c:pt>
                <c:pt idx="13">
                  <c:v>57.7</c:v>
                </c:pt>
                <c:pt idx="14">
                  <c:v>58.2</c:v>
                </c:pt>
                <c:pt idx="15">
                  <c:v>57.7</c:v>
                </c:pt>
                <c:pt idx="16">
                  <c:v>56</c:v>
                </c:pt>
                <c:pt idx="17">
                  <c:v>56.6</c:v>
                </c:pt>
                <c:pt idx="18">
                  <c:v>57.5</c:v>
                </c:pt>
                <c:pt idx="19">
                  <c:v>57.4</c:v>
                </c:pt>
                <c:pt idx="20">
                  <c:v>56.8</c:v>
                </c:pt>
                <c:pt idx="21">
                  <c:v>57.4</c:v>
                </c:pt>
                <c:pt idx="22">
                  <c:v>58</c:v>
                </c:pt>
                <c:pt idx="23">
                  <c:v>58.5</c:v>
                </c:pt>
                <c:pt idx="24">
                  <c:v>58.3</c:v>
                </c:pt>
                <c:pt idx="25">
                  <c:v>59.2</c:v>
                </c:pt>
                <c:pt idx="26">
                  <c:v>59.9</c:v>
                </c:pt>
                <c:pt idx="27">
                  <c:v>60.2</c:v>
                </c:pt>
                <c:pt idx="28">
                  <c:v>60.1</c:v>
                </c:pt>
                <c:pt idx="29">
                  <c:v>60.4</c:v>
                </c:pt>
                <c:pt idx="30">
                  <c:v>60.7</c:v>
                </c:pt>
                <c:pt idx="31">
                  <c:v>61.5</c:v>
                </c:pt>
                <c:pt idx="32">
                  <c:v>61.3</c:v>
                </c:pt>
                <c:pt idx="33">
                  <c:v>61.7</c:v>
                </c:pt>
                <c:pt idx="34">
                  <c:v>63.1</c:v>
                </c:pt>
                <c:pt idx="35">
                  <c:v>62.9</c:v>
                </c:pt>
                <c:pt idx="36">
                  <c:v>60.9</c:v>
                </c:pt>
                <c:pt idx="37">
                  <c:v>60.4</c:v>
                </c:pt>
                <c:pt idx="38">
                  <c:v>60.1</c:v>
                </c:pt>
                <c:pt idx="39">
                  <c:v>59.1</c:v>
                </c:pt>
                <c:pt idx="40">
                  <c:v>58</c:v>
                </c:pt>
                <c:pt idx="41">
                  <c:v>58.6</c:v>
                </c:pt>
                <c:pt idx="42">
                  <c:v>59.2</c:v>
                </c:pt>
                <c:pt idx="43">
                  <c:v>59.3</c:v>
                </c:pt>
                <c:pt idx="44">
                  <c:v>58.9</c:v>
                </c:pt>
                <c:pt idx="45">
                  <c:v>59.4</c:v>
                </c:pt>
                <c:pt idx="46">
                  <c:v>59.7</c:v>
                </c:pt>
                <c:pt idx="47">
                  <c:v>59.3</c:v>
                </c:pt>
                <c:pt idx="48">
                  <c:v>59.6</c:v>
                </c:pt>
                <c:pt idx="49">
                  <c:v>59.8</c:v>
                </c:pt>
                <c:pt idx="50">
                  <c:v>60.1</c:v>
                </c:pt>
                <c:pt idx="51">
                  <c:v>59.4</c:v>
                </c:pt>
                <c:pt idx="52">
                  <c:v>59.8</c:v>
                </c:pt>
                <c:pt idx="53">
                  <c:v>59.8</c:v>
                </c:pt>
                <c:pt idx="54">
                  <c:v>60</c:v>
                </c:pt>
                <c:pt idx="55">
                  <c:v>59.8</c:v>
                </c:pt>
                <c:pt idx="56">
                  <c:v>60.2</c:v>
                </c:pt>
                <c:pt idx="57">
                  <c:v>60.7</c:v>
                </c:pt>
                <c:pt idx="58">
                  <c:v>61.3</c:v>
                </c:pt>
                <c:pt idx="59">
                  <c:v>61.7</c:v>
                </c:pt>
                <c:pt idx="60">
                  <c:v>61.9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7436544"/>
        <c:axId val="47438080"/>
      </c:lineChart>
      <c:catAx>
        <c:axId val="47436544"/>
        <c:scaling>
          <c:orientation val="minMax"/>
        </c:scaling>
        <c:delete val="0"/>
        <c:axPos val="b"/>
        <c:numFmt formatCode="#,##0.00" sourceLinked="1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en-US"/>
          </a:p>
        </c:txPr>
        <c:crossAx val="47438080"/>
        <c:crosses val="autoZero"/>
        <c:auto val="1"/>
        <c:lblAlgn val="ctr"/>
        <c:lblOffset val="100"/>
        <c:noMultiLvlLbl val="0"/>
      </c:catAx>
      <c:valAx>
        <c:axId val="47438080"/>
        <c:scaling>
          <c:orientation val="minMax"/>
          <c:min val="55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en-US"/>
          </a:p>
        </c:txPr>
        <c:crossAx val="4743654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'Zamestnanost vs spotreba&amp;HDP'!$A$44</c:f>
              <c:strCache>
                <c:ptCount val="1"/>
                <c:pt idx="0">
                  <c:v>HDP</c:v>
                </c:pt>
              </c:strCache>
            </c:strRef>
          </c:tx>
          <c:marker>
            <c:symbol val="none"/>
          </c:marker>
          <c:cat>
            <c:strRef>
              <c:f>'Zamestnanost vs spotreba&amp;HDP'!$N$42:$CE$42</c:f>
              <c:strCache>
                <c:ptCount val="70"/>
                <c:pt idx="0">
                  <c:v>1998Q1</c:v>
                </c:pt>
                <c:pt idx="1">
                  <c:v>1998Q2</c:v>
                </c:pt>
                <c:pt idx="2">
                  <c:v>1998Q3</c:v>
                </c:pt>
                <c:pt idx="3">
                  <c:v>1998Q4</c:v>
                </c:pt>
                <c:pt idx="4">
                  <c:v>1999Q1</c:v>
                </c:pt>
                <c:pt idx="5">
                  <c:v>1999Q2</c:v>
                </c:pt>
                <c:pt idx="6">
                  <c:v>1999Q3</c:v>
                </c:pt>
                <c:pt idx="7">
                  <c:v>1999Q4</c:v>
                </c:pt>
                <c:pt idx="8">
                  <c:v>2000Q1</c:v>
                </c:pt>
                <c:pt idx="9">
                  <c:v>2000Q2</c:v>
                </c:pt>
                <c:pt idx="10">
                  <c:v>2000Q3</c:v>
                </c:pt>
                <c:pt idx="11">
                  <c:v>2000Q4</c:v>
                </c:pt>
                <c:pt idx="12">
                  <c:v>2001Q1</c:v>
                </c:pt>
                <c:pt idx="13">
                  <c:v>2001Q2</c:v>
                </c:pt>
                <c:pt idx="14">
                  <c:v>2001Q3</c:v>
                </c:pt>
                <c:pt idx="15">
                  <c:v>2001Q4</c:v>
                </c:pt>
                <c:pt idx="16">
                  <c:v>2002Q1</c:v>
                </c:pt>
                <c:pt idx="17">
                  <c:v>2002Q2</c:v>
                </c:pt>
                <c:pt idx="18">
                  <c:v>2002Q3</c:v>
                </c:pt>
                <c:pt idx="19">
                  <c:v>2002Q4</c:v>
                </c:pt>
                <c:pt idx="20">
                  <c:v>2003Q1</c:v>
                </c:pt>
                <c:pt idx="21">
                  <c:v>2003Q2</c:v>
                </c:pt>
                <c:pt idx="22">
                  <c:v>2003Q3</c:v>
                </c:pt>
                <c:pt idx="23">
                  <c:v>2003Q4</c:v>
                </c:pt>
                <c:pt idx="24">
                  <c:v>2004Q1</c:v>
                </c:pt>
                <c:pt idx="25">
                  <c:v>2004Q2</c:v>
                </c:pt>
                <c:pt idx="26">
                  <c:v>2004Q3</c:v>
                </c:pt>
                <c:pt idx="27">
                  <c:v>2004Q4</c:v>
                </c:pt>
                <c:pt idx="28">
                  <c:v>2005Q1</c:v>
                </c:pt>
                <c:pt idx="29">
                  <c:v>2005Q2</c:v>
                </c:pt>
                <c:pt idx="30">
                  <c:v>2005Q3</c:v>
                </c:pt>
                <c:pt idx="31">
                  <c:v>2005Q4</c:v>
                </c:pt>
                <c:pt idx="32">
                  <c:v>2006Q1</c:v>
                </c:pt>
                <c:pt idx="33">
                  <c:v>2006Q2</c:v>
                </c:pt>
                <c:pt idx="34">
                  <c:v>2006Q3</c:v>
                </c:pt>
                <c:pt idx="35">
                  <c:v>2006Q4</c:v>
                </c:pt>
                <c:pt idx="36">
                  <c:v>2007Q1</c:v>
                </c:pt>
                <c:pt idx="37">
                  <c:v>2007Q2</c:v>
                </c:pt>
                <c:pt idx="38">
                  <c:v>2007Q3</c:v>
                </c:pt>
                <c:pt idx="39">
                  <c:v>2007Q4</c:v>
                </c:pt>
                <c:pt idx="40">
                  <c:v>2008Q1</c:v>
                </c:pt>
                <c:pt idx="41">
                  <c:v>2008Q2</c:v>
                </c:pt>
                <c:pt idx="42">
                  <c:v>2008Q3</c:v>
                </c:pt>
                <c:pt idx="43">
                  <c:v>2008Q4</c:v>
                </c:pt>
                <c:pt idx="44">
                  <c:v>2009Q1</c:v>
                </c:pt>
                <c:pt idx="45">
                  <c:v>2009Q2</c:v>
                </c:pt>
                <c:pt idx="46">
                  <c:v>2009Q3</c:v>
                </c:pt>
                <c:pt idx="47">
                  <c:v>2009Q4</c:v>
                </c:pt>
                <c:pt idx="48">
                  <c:v>2010Q1</c:v>
                </c:pt>
                <c:pt idx="49">
                  <c:v>2010Q2</c:v>
                </c:pt>
                <c:pt idx="50">
                  <c:v>2010Q3</c:v>
                </c:pt>
                <c:pt idx="51">
                  <c:v>2010Q4</c:v>
                </c:pt>
                <c:pt idx="52">
                  <c:v>2011Q1</c:v>
                </c:pt>
                <c:pt idx="53">
                  <c:v>2011Q2</c:v>
                </c:pt>
                <c:pt idx="54">
                  <c:v>2011Q3</c:v>
                </c:pt>
                <c:pt idx="55">
                  <c:v>2011Q4</c:v>
                </c:pt>
                <c:pt idx="56">
                  <c:v>2012Q1</c:v>
                </c:pt>
                <c:pt idx="57">
                  <c:v>2012Q2</c:v>
                </c:pt>
                <c:pt idx="58">
                  <c:v>2012Q3</c:v>
                </c:pt>
                <c:pt idx="59">
                  <c:v>2012Q4</c:v>
                </c:pt>
                <c:pt idx="60">
                  <c:v>2013Q1</c:v>
                </c:pt>
                <c:pt idx="61">
                  <c:v>2013Q2</c:v>
                </c:pt>
                <c:pt idx="62">
                  <c:v>2013Q3</c:v>
                </c:pt>
                <c:pt idx="63">
                  <c:v>2013Q4</c:v>
                </c:pt>
                <c:pt idx="64">
                  <c:v>2014Q1</c:v>
                </c:pt>
                <c:pt idx="65">
                  <c:v>2014Q2</c:v>
                </c:pt>
                <c:pt idx="66">
                  <c:v>2014Q3</c:v>
                </c:pt>
                <c:pt idx="67">
                  <c:v>2014Q4</c:v>
                </c:pt>
                <c:pt idx="68">
                  <c:v>2015Q1</c:v>
                </c:pt>
                <c:pt idx="69">
                  <c:v>2015Q2</c:v>
                </c:pt>
              </c:strCache>
            </c:strRef>
          </c:cat>
          <c:val>
            <c:numRef>
              <c:f>'Zamestnanost vs spotreba&amp;HDP'!$N$47:$CE$47</c:f>
              <c:numCache>
                <c:formatCode>General</c:formatCode>
                <c:ptCount val="70"/>
                <c:pt idx="0">
                  <c:v>3.7999999999999972</c:v>
                </c:pt>
                <c:pt idx="1">
                  <c:v>3.4000000000000057</c:v>
                </c:pt>
                <c:pt idx="2">
                  <c:v>-0.90000000000000568</c:v>
                </c:pt>
                <c:pt idx="3">
                  <c:v>10.099999999999994</c:v>
                </c:pt>
                <c:pt idx="4">
                  <c:v>1.7999999999999972</c:v>
                </c:pt>
                <c:pt idx="5">
                  <c:v>1.5999999999999943</c:v>
                </c:pt>
                <c:pt idx="6">
                  <c:v>1.4000000000000057</c:v>
                </c:pt>
                <c:pt idx="7">
                  <c:v>-5.5</c:v>
                </c:pt>
                <c:pt idx="8">
                  <c:v>-3.0999999999999943</c:v>
                </c:pt>
                <c:pt idx="9">
                  <c:v>0.79999999999999716</c:v>
                </c:pt>
                <c:pt idx="10">
                  <c:v>1.7000000000000028</c:v>
                </c:pt>
                <c:pt idx="11">
                  <c:v>5.5</c:v>
                </c:pt>
                <c:pt idx="12">
                  <c:v>1.5</c:v>
                </c:pt>
                <c:pt idx="13">
                  <c:v>1.9000000000000057</c:v>
                </c:pt>
                <c:pt idx="14">
                  <c:v>2.7999999999999972</c:v>
                </c:pt>
                <c:pt idx="15">
                  <c:v>7.0999999999999943</c:v>
                </c:pt>
                <c:pt idx="16">
                  <c:v>4.0999999999999943</c:v>
                </c:pt>
                <c:pt idx="17">
                  <c:v>2.7000000000000028</c:v>
                </c:pt>
                <c:pt idx="18">
                  <c:v>7.9000000000000057</c:v>
                </c:pt>
                <c:pt idx="19">
                  <c:v>4.2000000000000028</c:v>
                </c:pt>
                <c:pt idx="20">
                  <c:v>6.2000000000000028</c:v>
                </c:pt>
                <c:pt idx="21">
                  <c:v>6</c:v>
                </c:pt>
                <c:pt idx="22">
                  <c:v>4.0999999999999943</c:v>
                </c:pt>
                <c:pt idx="23">
                  <c:v>5.5</c:v>
                </c:pt>
                <c:pt idx="24">
                  <c:v>4.4000000000000057</c:v>
                </c:pt>
                <c:pt idx="25">
                  <c:v>3.0999999999999943</c:v>
                </c:pt>
                <c:pt idx="26">
                  <c:v>7.5999999999999943</c:v>
                </c:pt>
                <c:pt idx="27">
                  <c:v>5.7999999999999972</c:v>
                </c:pt>
                <c:pt idx="28">
                  <c:v>4.7999999999999972</c:v>
                </c:pt>
                <c:pt idx="29">
                  <c:v>8.5999999999999943</c:v>
                </c:pt>
                <c:pt idx="30">
                  <c:v>7.0999999999999943</c:v>
                </c:pt>
                <c:pt idx="31">
                  <c:v>5.5</c:v>
                </c:pt>
                <c:pt idx="32">
                  <c:v>7.4000000000000057</c:v>
                </c:pt>
                <c:pt idx="33">
                  <c:v>8.2000000000000028</c:v>
                </c:pt>
                <c:pt idx="34">
                  <c:v>7.7000000000000028</c:v>
                </c:pt>
                <c:pt idx="35">
                  <c:v>9.7000000000000028</c:v>
                </c:pt>
                <c:pt idx="36">
                  <c:v>9.2000000000000028</c:v>
                </c:pt>
                <c:pt idx="37">
                  <c:v>8.9000000000000057</c:v>
                </c:pt>
                <c:pt idx="38">
                  <c:v>11</c:v>
                </c:pt>
                <c:pt idx="39">
                  <c:v>13.400000000000006</c:v>
                </c:pt>
                <c:pt idx="40">
                  <c:v>9.0999999999999943</c:v>
                </c:pt>
                <c:pt idx="41">
                  <c:v>6.4000000000000057</c:v>
                </c:pt>
                <c:pt idx="42">
                  <c:v>6</c:v>
                </c:pt>
                <c:pt idx="43">
                  <c:v>1</c:v>
                </c:pt>
                <c:pt idx="44">
                  <c:v>-5.5999999999999943</c:v>
                </c:pt>
                <c:pt idx="45">
                  <c:v>-5.9000000000000057</c:v>
                </c:pt>
                <c:pt idx="46">
                  <c:v>-5.5999999999999943</c:v>
                </c:pt>
                <c:pt idx="47">
                  <c:v>-4.0999999999999943</c:v>
                </c:pt>
                <c:pt idx="48">
                  <c:v>5.5999999999999943</c:v>
                </c:pt>
                <c:pt idx="49">
                  <c:v>5</c:v>
                </c:pt>
                <c:pt idx="50">
                  <c:v>4.5</c:v>
                </c:pt>
                <c:pt idx="51">
                  <c:v>4.2999999999999972</c:v>
                </c:pt>
                <c:pt idx="52">
                  <c:v>2.7000000000000028</c:v>
                </c:pt>
                <c:pt idx="53">
                  <c:v>2.9000000000000057</c:v>
                </c:pt>
                <c:pt idx="54">
                  <c:v>2.0999999999999943</c:v>
                </c:pt>
                <c:pt idx="55">
                  <c:v>3.2000000000000028</c:v>
                </c:pt>
                <c:pt idx="56">
                  <c:v>2.5</c:v>
                </c:pt>
                <c:pt idx="57">
                  <c:v>2.0999999999999943</c:v>
                </c:pt>
                <c:pt idx="58">
                  <c:v>1.7000000000000028</c:v>
                </c:pt>
                <c:pt idx="59">
                  <c:v>0.29999999999999716</c:v>
                </c:pt>
                <c:pt idx="60">
                  <c:v>0.90000000000000568</c:v>
                </c:pt>
                <c:pt idx="61">
                  <c:v>1.2999999999999972</c:v>
                </c:pt>
                <c:pt idx="62">
                  <c:v>1.5</c:v>
                </c:pt>
                <c:pt idx="63">
                  <c:v>2</c:v>
                </c:pt>
                <c:pt idx="64">
                  <c:v>2.2999999999999972</c:v>
                </c:pt>
                <c:pt idx="65">
                  <c:v>2.5999999999999943</c:v>
                </c:pt>
                <c:pt idx="66">
                  <c:v>2.4000000000000057</c:v>
                </c:pt>
                <c:pt idx="67">
                  <c:v>2.4000000000000057</c:v>
                </c:pt>
                <c:pt idx="68">
                  <c:v>3.0999999999999943</c:v>
                </c:pt>
                <c:pt idx="69">
                  <c:v>3.2000000000000028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'Zamestnanost vs spotreba&amp;HDP'!$A$45</c:f>
              <c:strCache>
                <c:ptCount val="1"/>
                <c:pt idx="0">
                  <c:v>Zamestnanosť</c:v>
                </c:pt>
              </c:strCache>
            </c:strRef>
          </c:tx>
          <c:marker>
            <c:symbol val="none"/>
          </c:marker>
          <c:cat>
            <c:strRef>
              <c:f>'Zamestnanost vs spotreba&amp;HDP'!$N$42:$CE$42</c:f>
              <c:strCache>
                <c:ptCount val="70"/>
                <c:pt idx="0">
                  <c:v>1998Q1</c:v>
                </c:pt>
                <c:pt idx="1">
                  <c:v>1998Q2</c:v>
                </c:pt>
                <c:pt idx="2">
                  <c:v>1998Q3</c:v>
                </c:pt>
                <c:pt idx="3">
                  <c:v>1998Q4</c:v>
                </c:pt>
                <c:pt idx="4">
                  <c:v>1999Q1</c:v>
                </c:pt>
                <c:pt idx="5">
                  <c:v>1999Q2</c:v>
                </c:pt>
                <c:pt idx="6">
                  <c:v>1999Q3</c:v>
                </c:pt>
                <c:pt idx="7">
                  <c:v>1999Q4</c:v>
                </c:pt>
                <c:pt idx="8">
                  <c:v>2000Q1</c:v>
                </c:pt>
                <c:pt idx="9">
                  <c:v>2000Q2</c:v>
                </c:pt>
                <c:pt idx="10">
                  <c:v>2000Q3</c:v>
                </c:pt>
                <c:pt idx="11">
                  <c:v>2000Q4</c:v>
                </c:pt>
                <c:pt idx="12">
                  <c:v>2001Q1</c:v>
                </c:pt>
                <c:pt idx="13">
                  <c:v>2001Q2</c:v>
                </c:pt>
                <c:pt idx="14">
                  <c:v>2001Q3</c:v>
                </c:pt>
                <c:pt idx="15">
                  <c:v>2001Q4</c:v>
                </c:pt>
                <c:pt idx="16">
                  <c:v>2002Q1</c:v>
                </c:pt>
                <c:pt idx="17">
                  <c:v>2002Q2</c:v>
                </c:pt>
                <c:pt idx="18">
                  <c:v>2002Q3</c:v>
                </c:pt>
                <c:pt idx="19">
                  <c:v>2002Q4</c:v>
                </c:pt>
                <c:pt idx="20">
                  <c:v>2003Q1</c:v>
                </c:pt>
                <c:pt idx="21">
                  <c:v>2003Q2</c:v>
                </c:pt>
                <c:pt idx="22">
                  <c:v>2003Q3</c:v>
                </c:pt>
                <c:pt idx="23">
                  <c:v>2003Q4</c:v>
                </c:pt>
                <c:pt idx="24">
                  <c:v>2004Q1</c:v>
                </c:pt>
                <c:pt idx="25">
                  <c:v>2004Q2</c:v>
                </c:pt>
                <c:pt idx="26">
                  <c:v>2004Q3</c:v>
                </c:pt>
                <c:pt idx="27">
                  <c:v>2004Q4</c:v>
                </c:pt>
                <c:pt idx="28">
                  <c:v>2005Q1</c:v>
                </c:pt>
                <c:pt idx="29">
                  <c:v>2005Q2</c:v>
                </c:pt>
                <c:pt idx="30">
                  <c:v>2005Q3</c:v>
                </c:pt>
                <c:pt idx="31">
                  <c:v>2005Q4</c:v>
                </c:pt>
                <c:pt idx="32">
                  <c:v>2006Q1</c:v>
                </c:pt>
                <c:pt idx="33">
                  <c:v>2006Q2</c:v>
                </c:pt>
                <c:pt idx="34">
                  <c:v>2006Q3</c:v>
                </c:pt>
                <c:pt idx="35">
                  <c:v>2006Q4</c:v>
                </c:pt>
                <c:pt idx="36">
                  <c:v>2007Q1</c:v>
                </c:pt>
                <c:pt idx="37">
                  <c:v>2007Q2</c:v>
                </c:pt>
                <c:pt idx="38">
                  <c:v>2007Q3</c:v>
                </c:pt>
                <c:pt idx="39">
                  <c:v>2007Q4</c:v>
                </c:pt>
                <c:pt idx="40">
                  <c:v>2008Q1</c:v>
                </c:pt>
                <c:pt idx="41">
                  <c:v>2008Q2</c:v>
                </c:pt>
                <c:pt idx="42">
                  <c:v>2008Q3</c:v>
                </c:pt>
                <c:pt idx="43">
                  <c:v>2008Q4</c:v>
                </c:pt>
                <c:pt idx="44">
                  <c:v>2009Q1</c:v>
                </c:pt>
                <c:pt idx="45">
                  <c:v>2009Q2</c:v>
                </c:pt>
                <c:pt idx="46">
                  <c:v>2009Q3</c:v>
                </c:pt>
                <c:pt idx="47">
                  <c:v>2009Q4</c:v>
                </c:pt>
                <c:pt idx="48">
                  <c:v>2010Q1</c:v>
                </c:pt>
                <c:pt idx="49">
                  <c:v>2010Q2</c:v>
                </c:pt>
                <c:pt idx="50">
                  <c:v>2010Q3</c:v>
                </c:pt>
                <c:pt idx="51">
                  <c:v>2010Q4</c:v>
                </c:pt>
                <c:pt idx="52">
                  <c:v>2011Q1</c:v>
                </c:pt>
                <c:pt idx="53">
                  <c:v>2011Q2</c:v>
                </c:pt>
                <c:pt idx="54">
                  <c:v>2011Q3</c:v>
                </c:pt>
                <c:pt idx="55">
                  <c:v>2011Q4</c:v>
                </c:pt>
                <c:pt idx="56">
                  <c:v>2012Q1</c:v>
                </c:pt>
                <c:pt idx="57">
                  <c:v>2012Q2</c:v>
                </c:pt>
                <c:pt idx="58">
                  <c:v>2012Q3</c:v>
                </c:pt>
                <c:pt idx="59">
                  <c:v>2012Q4</c:v>
                </c:pt>
                <c:pt idx="60">
                  <c:v>2013Q1</c:v>
                </c:pt>
                <c:pt idx="61">
                  <c:v>2013Q2</c:v>
                </c:pt>
                <c:pt idx="62">
                  <c:v>2013Q3</c:v>
                </c:pt>
                <c:pt idx="63">
                  <c:v>2013Q4</c:v>
                </c:pt>
                <c:pt idx="64">
                  <c:v>2014Q1</c:v>
                </c:pt>
                <c:pt idx="65">
                  <c:v>2014Q2</c:v>
                </c:pt>
                <c:pt idx="66">
                  <c:v>2014Q3</c:v>
                </c:pt>
                <c:pt idx="67">
                  <c:v>2014Q4</c:v>
                </c:pt>
                <c:pt idx="68">
                  <c:v>2015Q1</c:v>
                </c:pt>
                <c:pt idx="69">
                  <c:v>2015Q2</c:v>
                </c:pt>
              </c:strCache>
            </c:strRef>
          </c:cat>
          <c:val>
            <c:numRef>
              <c:f>'Zamestnanost vs spotreba&amp;HDP'!$N$46:$CE$46</c:f>
              <c:numCache>
                <c:formatCode>General</c:formatCode>
                <c:ptCount val="70"/>
                <c:pt idx="0">
                  <c:v>0.79999999999999716</c:v>
                </c:pt>
                <c:pt idx="1">
                  <c:v>-0.29999999999999716</c:v>
                </c:pt>
                <c:pt idx="2">
                  <c:v>-1.4000000000000057</c:v>
                </c:pt>
                <c:pt idx="3">
                  <c:v>-0.90000000000000568</c:v>
                </c:pt>
                <c:pt idx="4">
                  <c:v>-0.79999999999999716</c:v>
                </c:pt>
                <c:pt idx="5">
                  <c:v>-1.7999999999999972</c:v>
                </c:pt>
                <c:pt idx="6">
                  <c:v>-2.9000000000000057</c:v>
                </c:pt>
                <c:pt idx="7">
                  <c:v>-4.7000000000000028</c:v>
                </c:pt>
                <c:pt idx="8">
                  <c:v>-5.5</c:v>
                </c:pt>
                <c:pt idx="9">
                  <c:v>-3.5999999999999943</c:v>
                </c:pt>
                <c:pt idx="10">
                  <c:v>-0.70000000000000284</c:v>
                </c:pt>
                <c:pt idx="11">
                  <c:v>2.0999999999999943</c:v>
                </c:pt>
                <c:pt idx="12">
                  <c:v>1.5</c:v>
                </c:pt>
                <c:pt idx="13">
                  <c:v>2</c:v>
                </c:pt>
                <c:pt idx="14">
                  <c:v>0.70000000000000284</c:v>
                </c:pt>
                <c:pt idx="15">
                  <c:v>-1.7999999999999972</c:v>
                </c:pt>
                <c:pt idx="16">
                  <c:v>-0.5</c:v>
                </c:pt>
                <c:pt idx="17">
                  <c:v>0</c:v>
                </c:pt>
                <c:pt idx="18">
                  <c:v>0.5</c:v>
                </c:pt>
                <c:pt idx="19">
                  <c:v>0.29999999999999716</c:v>
                </c:pt>
                <c:pt idx="20">
                  <c:v>1.2999999999999972</c:v>
                </c:pt>
                <c:pt idx="21">
                  <c:v>1</c:v>
                </c:pt>
                <c:pt idx="22">
                  <c:v>0.79999999999999716</c:v>
                </c:pt>
                <c:pt idx="23">
                  <c:v>1.2999999999999972</c:v>
                </c:pt>
                <c:pt idx="24">
                  <c:v>-0.29999999999999716</c:v>
                </c:pt>
                <c:pt idx="25">
                  <c:v>-0.79999999999999716</c:v>
                </c:pt>
                <c:pt idx="26">
                  <c:v>-9.9999999999994316E-2</c:v>
                </c:pt>
                <c:pt idx="27">
                  <c:v>0.40000000000000568</c:v>
                </c:pt>
                <c:pt idx="28">
                  <c:v>1.7999999999999972</c:v>
                </c:pt>
                <c:pt idx="29">
                  <c:v>1.5</c:v>
                </c:pt>
                <c:pt idx="30">
                  <c:v>1.0999999999999943</c:v>
                </c:pt>
                <c:pt idx="31">
                  <c:v>2</c:v>
                </c:pt>
                <c:pt idx="32">
                  <c:v>1.9000000000000057</c:v>
                </c:pt>
                <c:pt idx="33">
                  <c:v>2.0999999999999943</c:v>
                </c:pt>
                <c:pt idx="34">
                  <c:v>2.2999999999999972</c:v>
                </c:pt>
                <c:pt idx="35">
                  <c:v>2</c:v>
                </c:pt>
                <c:pt idx="36">
                  <c:v>2.0999999999999943</c:v>
                </c:pt>
                <c:pt idx="37">
                  <c:v>1.9000000000000057</c:v>
                </c:pt>
                <c:pt idx="38">
                  <c:v>2</c:v>
                </c:pt>
                <c:pt idx="39">
                  <c:v>2.2999999999999972</c:v>
                </c:pt>
                <c:pt idx="40">
                  <c:v>3.0999999999999943</c:v>
                </c:pt>
                <c:pt idx="41">
                  <c:v>3.2999999999999972</c:v>
                </c:pt>
                <c:pt idx="42">
                  <c:v>3.7000000000000028</c:v>
                </c:pt>
                <c:pt idx="43">
                  <c:v>2.7999999999999972</c:v>
                </c:pt>
                <c:pt idx="44">
                  <c:v>9.9999999999994316E-2</c:v>
                </c:pt>
                <c:pt idx="45">
                  <c:v>-0.79999999999999716</c:v>
                </c:pt>
                <c:pt idx="46">
                  <c:v>-3.2999999999999972</c:v>
                </c:pt>
                <c:pt idx="47">
                  <c:v>-3.7999999999999972</c:v>
                </c:pt>
                <c:pt idx="48">
                  <c:v>-3.0999999999999943</c:v>
                </c:pt>
                <c:pt idx="49">
                  <c:v>-2.5</c:v>
                </c:pt>
                <c:pt idx="50">
                  <c:v>-0.79999999999999716</c:v>
                </c:pt>
                <c:pt idx="51">
                  <c:v>0.40000000000000568</c:v>
                </c:pt>
                <c:pt idx="52">
                  <c:v>2.2999999999999972</c:v>
                </c:pt>
                <c:pt idx="53">
                  <c:v>2.2999999999999972</c:v>
                </c:pt>
                <c:pt idx="54">
                  <c:v>1.7000000000000028</c:v>
                </c:pt>
                <c:pt idx="55">
                  <c:v>0.90000000000000568</c:v>
                </c:pt>
                <c:pt idx="56">
                  <c:v>0.59999999999999432</c:v>
                </c:pt>
                <c:pt idx="57">
                  <c:v>0.20000000000000284</c:v>
                </c:pt>
                <c:pt idx="58">
                  <c:v>-9.9999999999994316E-2</c:v>
                </c:pt>
                <c:pt idx="59">
                  <c:v>-0.59999999999999432</c:v>
                </c:pt>
                <c:pt idx="60">
                  <c:v>-1</c:v>
                </c:pt>
                <c:pt idx="61">
                  <c:v>-1.2999999999999972</c:v>
                </c:pt>
                <c:pt idx="62">
                  <c:v>-0.90000000000000568</c:v>
                </c:pt>
                <c:pt idx="63">
                  <c:v>9.9999999999994316E-2</c:v>
                </c:pt>
                <c:pt idx="64">
                  <c:v>0.59999999999999432</c:v>
                </c:pt>
                <c:pt idx="65">
                  <c:v>1.4000000000000057</c:v>
                </c:pt>
                <c:pt idx="66">
                  <c:v>1.4000000000000057</c:v>
                </c:pt>
                <c:pt idx="67">
                  <c:v>2.0999999999999943</c:v>
                </c:pt>
                <c:pt idx="68">
                  <c:v>1.7999999999999972</c:v>
                </c:pt>
                <c:pt idx="69">
                  <c:v>2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'Zamestnanost vs spotreba&amp;HDP'!$A$48</c:f>
              <c:strCache>
                <c:ptCount val="1"/>
                <c:pt idx="0">
                  <c:v>Konečná spotreba</c:v>
                </c:pt>
              </c:strCache>
            </c:strRef>
          </c:tx>
          <c:spPr>
            <a:ln>
              <a:solidFill>
                <a:srgbClr val="92D050"/>
              </a:solidFill>
            </a:ln>
          </c:spPr>
          <c:marker>
            <c:symbol val="none"/>
          </c:marker>
          <c:val>
            <c:numRef>
              <c:f>'Zamestnanost vs spotreba&amp;HDP'!$N$49:$CD$49</c:f>
              <c:numCache>
                <c:formatCode>General</c:formatCode>
                <c:ptCount val="69"/>
                <c:pt idx="0">
                  <c:v>6.4000000000000057</c:v>
                </c:pt>
                <c:pt idx="1">
                  <c:v>6.0999999999999943</c:v>
                </c:pt>
                <c:pt idx="2">
                  <c:v>7.0999999999999943</c:v>
                </c:pt>
                <c:pt idx="3">
                  <c:v>5.4000000000000057</c:v>
                </c:pt>
                <c:pt idx="4">
                  <c:v>-1.2999999999999972</c:v>
                </c:pt>
                <c:pt idx="5">
                  <c:v>-0.29999999999999716</c:v>
                </c:pt>
                <c:pt idx="6">
                  <c:v>-4.5</c:v>
                </c:pt>
                <c:pt idx="7">
                  <c:v>-1.5</c:v>
                </c:pt>
                <c:pt idx="8">
                  <c:v>-2.7000000000000028</c:v>
                </c:pt>
                <c:pt idx="9">
                  <c:v>-2.0999999999999943</c:v>
                </c:pt>
                <c:pt idx="10">
                  <c:v>3.9000000000000057</c:v>
                </c:pt>
                <c:pt idx="11">
                  <c:v>10.900000000000006</c:v>
                </c:pt>
                <c:pt idx="12">
                  <c:v>6.9000000000000057</c:v>
                </c:pt>
                <c:pt idx="13">
                  <c:v>2.9000000000000057</c:v>
                </c:pt>
                <c:pt idx="14">
                  <c:v>5.9000000000000057</c:v>
                </c:pt>
                <c:pt idx="15">
                  <c:v>5.0999999999999943</c:v>
                </c:pt>
                <c:pt idx="16">
                  <c:v>3.2999999999999972</c:v>
                </c:pt>
                <c:pt idx="17">
                  <c:v>7.4000000000000057</c:v>
                </c:pt>
                <c:pt idx="18">
                  <c:v>5.5</c:v>
                </c:pt>
                <c:pt idx="19">
                  <c:v>5.2000000000000028</c:v>
                </c:pt>
                <c:pt idx="20">
                  <c:v>6.2999999999999972</c:v>
                </c:pt>
                <c:pt idx="21">
                  <c:v>2.2000000000000028</c:v>
                </c:pt>
                <c:pt idx="22">
                  <c:v>1.2000000000000028</c:v>
                </c:pt>
                <c:pt idx="23">
                  <c:v>5.0999999999999943</c:v>
                </c:pt>
                <c:pt idx="24">
                  <c:v>2</c:v>
                </c:pt>
                <c:pt idx="25">
                  <c:v>2.2999999999999972</c:v>
                </c:pt>
                <c:pt idx="26">
                  <c:v>4.2000000000000028</c:v>
                </c:pt>
                <c:pt idx="27">
                  <c:v>3.2000000000000028</c:v>
                </c:pt>
                <c:pt idx="28">
                  <c:v>6.4000000000000057</c:v>
                </c:pt>
                <c:pt idx="29">
                  <c:v>5.7999999999999972</c:v>
                </c:pt>
                <c:pt idx="30">
                  <c:v>7.2000000000000028</c:v>
                </c:pt>
                <c:pt idx="31">
                  <c:v>4.2999999999999972</c:v>
                </c:pt>
                <c:pt idx="32">
                  <c:v>9.9000000000000057</c:v>
                </c:pt>
                <c:pt idx="33">
                  <c:v>6.9000000000000057</c:v>
                </c:pt>
                <c:pt idx="34">
                  <c:v>3.7000000000000028</c:v>
                </c:pt>
                <c:pt idx="35">
                  <c:v>6</c:v>
                </c:pt>
                <c:pt idx="36">
                  <c:v>5.5999999999999943</c:v>
                </c:pt>
                <c:pt idx="37">
                  <c:v>5.5</c:v>
                </c:pt>
                <c:pt idx="38">
                  <c:v>6.7000000000000028</c:v>
                </c:pt>
                <c:pt idx="39">
                  <c:v>4.4000000000000057</c:v>
                </c:pt>
                <c:pt idx="40">
                  <c:v>6.2999999999999972</c:v>
                </c:pt>
                <c:pt idx="41">
                  <c:v>6.9000000000000057</c:v>
                </c:pt>
                <c:pt idx="42">
                  <c:v>6.4000000000000057</c:v>
                </c:pt>
                <c:pt idx="43">
                  <c:v>4.2999999999999972</c:v>
                </c:pt>
                <c:pt idx="44">
                  <c:v>1</c:v>
                </c:pt>
                <c:pt idx="45">
                  <c:v>2.9000000000000057</c:v>
                </c:pt>
                <c:pt idx="46">
                  <c:v>1.2000000000000028</c:v>
                </c:pt>
                <c:pt idx="47">
                  <c:v>-9.9999999999994316E-2</c:v>
                </c:pt>
                <c:pt idx="48">
                  <c:v>1.5</c:v>
                </c:pt>
                <c:pt idx="49">
                  <c:v>0.29999999999999716</c:v>
                </c:pt>
                <c:pt idx="50">
                  <c:v>0.70000000000000284</c:v>
                </c:pt>
                <c:pt idx="51">
                  <c:v>-0.29999999999999716</c:v>
                </c:pt>
                <c:pt idx="52">
                  <c:v>-9.9999999999994316E-2</c:v>
                </c:pt>
                <c:pt idx="53">
                  <c:v>-1.7999999999999972</c:v>
                </c:pt>
                <c:pt idx="54">
                  <c:v>-1.0999999999999943</c:v>
                </c:pt>
                <c:pt idx="55">
                  <c:v>-0.90000000000000568</c:v>
                </c:pt>
                <c:pt idx="56">
                  <c:v>-9.9999999999994316E-2</c:v>
                </c:pt>
                <c:pt idx="57">
                  <c:v>-1</c:v>
                </c:pt>
                <c:pt idx="58">
                  <c:v>-0.90000000000000568</c:v>
                </c:pt>
                <c:pt idx="59">
                  <c:v>-1.2999999999999972</c:v>
                </c:pt>
                <c:pt idx="60">
                  <c:v>-1.0999999999999943</c:v>
                </c:pt>
                <c:pt idx="61">
                  <c:v>0.5</c:v>
                </c:pt>
                <c:pt idx="62">
                  <c:v>0.20000000000000284</c:v>
                </c:pt>
                <c:pt idx="63">
                  <c:v>0.40000000000000568</c:v>
                </c:pt>
                <c:pt idx="64">
                  <c:v>3.2999999999999972</c:v>
                </c:pt>
                <c:pt idx="65">
                  <c:v>3.0999999999999943</c:v>
                </c:pt>
                <c:pt idx="66">
                  <c:v>2</c:v>
                </c:pt>
                <c:pt idx="67">
                  <c:v>2.5999999999999943</c:v>
                </c:pt>
                <c:pt idx="68">
                  <c:v>1.5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7447040"/>
        <c:axId val="82907904"/>
      </c:lineChart>
      <c:catAx>
        <c:axId val="47447040"/>
        <c:scaling>
          <c:orientation val="minMax"/>
        </c:scaling>
        <c:delete val="0"/>
        <c:axPos val="b"/>
        <c:majorTickMark val="out"/>
        <c:minorTickMark val="none"/>
        <c:tickLblPos val="low"/>
        <c:txPr>
          <a:bodyPr/>
          <a:lstStyle/>
          <a:p>
            <a:pPr>
              <a:defRPr sz="800"/>
            </a:pPr>
            <a:endParaRPr lang="en-US"/>
          </a:p>
        </c:txPr>
        <c:crossAx val="82907904"/>
        <c:crosses val="autoZero"/>
        <c:auto val="1"/>
        <c:lblAlgn val="ctr"/>
        <c:lblOffset val="100"/>
        <c:noMultiLvlLbl val="0"/>
      </c:catAx>
      <c:valAx>
        <c:axId val="8290790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en-US"/>
          </a:p>
        </c:txPr>
        <c:crossAx val="47447040"/>
        <c:crosses val="autoZero"/>
        <c:crossBetween val="between"/>
      </c:valAx>
    </c:plotArea>
    <c:legend>
      <c:legendPos val="b"/>
      <c:overlay val="0"/>
      <c:txPr>
        <a:bodyPr/>
        <a:lstStyle/>
        <a:p>
          <a:pPr>
            <a:defRPr sz="800"/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Data!$A$152</c:f>
              <c:strCache>
                <c:ptCount val="1"/>
                <c:pt idx="0">
                  <c:v>European Union (28 countries)</c:v>
                </c:pt>
              </c:strCache>
            </c:strRef>
          </c:tx>
          <c:marker>
            <c:symbol val="none"/>
          </c:marker>
          <c:cat>
            <c:strRef>
              <c:f>Data!$AH$151:$CP$151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Data!$AH$152:$CP$152</c:f>
              <c:numCache>
                <c:formatCode>General</c:formatCode>
                <c:ptCount val="61"/>
                <c:pt idx="8" formatCode="#,##0.0">
                  <c:v>66.099999999999994</c:v>
                </c:pt>
                <c:pt idx="9" formatCode="#,##0.0">
                  <c:v>66.8</c:v>
                </c:pt>
                <c:pt idx="10" formatCode="#,##0.0">
                  <c:v>67</c:v>
                </c:pt>
                <c:pt idx="11" formatCode="#,##0.0">
                  <c:v>66.8</c:v>
                </c:pt>
                <c:pt idx="12" formatCode="#,##0.0">
                  <c:v>66.3</c:v>
                </c:pt>
                <c:pt idx="13" formatCode="#,##0.0">
                  <c:v>67.099999999999994</c:v>
                </c:pt>
                <c:pt idx="14" formatCode="#,##0.0">
                  <c:v>67.400000000000006</c:v>
                </c:pt>
                <c:pt idx="15" formatCode="#,##0.0">
                  <c:v>67.099999999999994</c:v>
                </c:pt>
                <c:pt idx="16" formatCode="#,##0.0">
                  <c:v>66.599999999999994</c:v>
                </c:pt>
                <c:pt idx="17" formatCode="#,##0.0">
                  <c:v>67.5</c:v>
                </c:pt>
                <c:pt idx="18" formatCode="#,##0.0">
                  <c:v>67.7</c:v>
                </c:pt>
                <c:pt idx="19" formatCode="#,##0.0">
                  <c:v>67.7</c:v>
                </c:pt>
                <c:pt idx="20" formatCode="#,##0.0">
                  <c:v>67.3</c:v>
                </c:pt>
                <c:pt idx="21" formatCode="#,##0.0">
                  <c:v>67.900000000000006</c:v>
                </c:pt>
                <c:pt idx="22" formatCode="#,##0.0">
                  <c:v>68.2</c:v>
                </c:pt>
                <c:pt idx="23" formatCode="#,##0.0">
                  <c:v>68.099999999999994</c:v>
                </c:pt>
                <c:pt idx="24" formatCode="#,##0.0">
                  <c:v>68</c:v>
                </c:pt>
                <c:pt idx="25" formatCode="#,##0.0">
                  <c:v>68.900000000000006</c:v>
                </c:pt>
                <c:pt idx="26" formatCode="#,##0.0">
                  <c:v>69.400000000000006</c:v>
                </c:pt>
                <c:pt idx="27" formatCode="#,##0.0">
                  <c:v>69.2</c:v>
                </c:pt>
                <c:pt idx="28" formatCode="#,##0.0">
                  <c:v>69</c:v>
                </c:pt>
                <c:pt idx="29" formatCode="#,##0.0">
                  <c:v>69.900000000000006</c:v>
                </c:pt>
                <c:pt idx="30" formatCode="#,##0.0">
                  <c:v>70.3</c:v>
                </c:pt>
                <c:pt idx="31" formatCode="#,##0.0">
                  <c:v>70.099999999999994</c:v>
                </c:pt>
                <c:pt idx="32" formatCode="#,##0.0">
                  <c:v>69.8</c:v>
                </c:pt>
                <c:pt idx="33" formatCode="#,##0.0">
                  <c:v>70.400000000000006</c:v>
                </c:pt>
                <c:pt idx="34" formatCode="#,##0.0">
                  <c:v>70.7</c:v>
                </c:pt>
                <c:pt idx="35" formatCode="#,##0.0">
                  <c:v>70.099999999999994</c:v>
                </c:pt>
                <c:pt idx="36" formatCode="#,##0.0">
                  <c:v>68.900000000000006</c:v>
                </c:pt>
                <c:pt idx="37" formatCode="#,##0.0">
                  <c:v>69.099999999999994</c:v>
                </c:pt>
                <c:pt idx="38" formatCode="#,##0.0">
                  <c:v>69</c:v>
                </c:pt>
                <c:pt idx="39" formatCode="#,##0.0">
                  <c:v>68.7</c:v>
                </c:pt>
                <c:pt idx="40" formatCode="#,##0.0">
                  <c:v>68</c:v>
                </c:pt>
                <c:pt idx="41" formatCode="#,##0.0">
                  <c:v>68.7</c:v>
                </c:pt>
                <c:pt idx="42" formatCode="#,##0.0">
                  <c:v>68.900000000000006</c:v>
                </c:pt>
                <c:pt idx="43" formatCode="#,##0.0">
                  <c:v>68.599999999999994</c:v>
                </c:pt>
                <c:pt idx="44" formatCode="#,##0.0">
                  <c:v>68.099999999999994</c:v>
                </c:pt>
                <c:pt idx="45" formatCode="#,##0.0">
                  <c:v>68.8</c:v>
                </c:pt>
                <c:pt idx="46" formatCode="#,##0.0">
                  <c:v>68.8</c:v>
                </c:pt>
                <c:pt idx="47" formatCode="#,##0.0">
                  <c:v>68.5</c:v>
                </c:pt>
                <c:pt idx="48" formatCode="#,##0.0">
                  <c:v>67.900000000000006</c:v>
                </c:pt>
                <c:pt idx="49" formatCode="#,##0.0">
                  <c:v>68.599999999999994</c:v>
                </c:pt>
                <c:pt idx="50" formatCode="#,##0.0">
                  <c:v>68.8</c:v>
                </c:pt>
                <c:pt idx="51" formatCode="#,##0.0">
                  <c:v>68.400000000000006</c:v>
                </c:pt>
                <c:pt idx="52" formatCode="#,##0.0">
                  <c:v>67.7</c:v>
                </c:pt>
                <c:pt idx="53" formatCode="#,##0.0">
                  <c:v>68.400000000000006</c:v>
                </c:pt>
                <c:pt idx="54" formatCode="#,##0.0">
                  <c:v>68.8</c:v>
                </c:pt>
                <c:pt idx="55" formatCode="#,##0.0">
                  <c:v>68.7</c:v>
                </c:pt>
                <c:pt idx="56" formatCode="#,##0.0">
                  <c:v>68.400000000000006</c:v>
                </c:pt>
                <c:pt idx="57" formatCode="#,##0.0">
                  <c:v>69.2</c:v>
                </c:pt>
                <c:pt idx="58" formatCode="#,##0.0">
                  <c:v>69.7</c:v>
                </c:pt>
                <c:pt idx="59" formatCode="#,##0.0">
                  <c:v>69.599999999999994</c:v>
                </c:pt>
                <c:pt idx="60" formatCode="#,##0.0">
                  <c:v>69.2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Data!$A$160</c:f>
              <c:strCache>
                <c:ptCount val="1"/>
                <c:pt idx="0">
                  <c:v>Czech Republic</c:v>
                </c:pt>
              </c:strCache>
            </c:strRef>
          </c:tx>
          <c:marker>
            <c:symbol val="none"/>
          </c:marker>
          <c:cat>
            <c:strRef>
              <c:f>Data!$AH$151:$CP$151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Data!$AH$160:$CP$160</c:f>
              <c:numCache>
                <c:formatCode>#,##0.0</c:formatCode>
                <c:ptCount val="61"/>
                <c:pt idx="0">
                  <c:v>70.599999999999994</c:v>
                </c:pt>
                <c:pt idx="1">
                  <c:v>70.900000000000006</c:v>
                </c:pt>
                <c:pt idx="2">
                  <c:v>71.099999999999994</c:v>
                </c:pt>
                <c:pt idx="3">
                  <c:v>71.2</c:v>
                </c:pt>
                <c:pt idx="4">
                  <c:v>71.099999999999994</c:v>
                </c:pt>
                <c:pt idx="5">
                  <c:v>71.2</c:v>
                </c:pt>
                <c:pt idx="6">
                  <c:v>71.099999999999994</c:v>
                </c:pt>
                <c:pt idx="7">
                  <c:v>71.3</c:v>
                </c:pt>
                <c:pt idx="8">
                  <c:v>71</c:v>
                </c:pt>
                <c:pt idx="9">
                  <c:v>71.7</c:v>
                </c:pt>
                <c:pt idx="10">
                  <c:v>71.8</c:v>
                </c:pt>
                <c:pt idx="11">
                  <c:v>71.8</c:v>
                </c:pt>
                <c:pt idx="12">
                  <c:v>71</c:v>
                </c:pt>
                <c:pt idx="13">
                  <c:v>71</c:v>
                </c:pt>
                <c:pt idx="14">
                  <c:v>70.599999999999994</c:v>
                </c:pt>
                <c:pt idx="15">
                  <c:v>70.400000000000006</c:v>
                </c:pt>
                <c:pt idx="16">
                  <c:v>69.7</c:v>
                </c:pt>
                <c:pt idx="17">
                  <c:v>70.099999999999994</c:v>
                </c:pt>
                <c:pt idx="18">
                  <c:v>70.3</c:v>
                </c:pt>
                <c:pt idx="19">
                  <c:v>70.3</c:v>
                </c:pt>
                <c:pt idx="20">
                  <c:v>70</c:v>
                </c:pt>
                <c:pt idx="21">
                  <c:v>70.7</c:v>
                </c:pt>
                <c:pt idx="22">
                  <c:v>71.099999999999994</c:v>
                </c:pt>
                <c:pt idx="23">
                  <c:v>71</c:v>
                </c:pt>
                <c:pt idx="24">
                  <c:v>70.7</c:v>
                </c:pt>
                <c:pt idx="25">
                  <c:v>71.2</c:v>
                </c:pt>
                <c:pt idx="26">
                  <c:v>71.3</c:v>
                </c:pt>
                <c:pt idx="27">
                  <c:v>71.5</c:v>
                </c:pt>
                <c:pt idx="28">
                  <c:v>71.400000000000006</c:v>
                </c:pt>
                <c:pt idx="29">
                  <c:v>72</c:v>
                </c:pt>
                <c:pt idx="30">
                  <c:v>72.2</c:v>
                </c:pt>
                <c:pt idx="31">
                  <c:v>72.3</c:v>
                </c:pt>
                <c:pt idx="32">
                  <c:v>72</c:v>
                </c:pt>
                <c:pt idx="33">
                  <c:v>72.5</c:v>
                </c:pt>
                <c:pt idx="34">
                  <c:v>72.5</c:v>
                </c:pt>
                <c:pt idx="35">
                  <c:v>72.5</c:v>
                </c:pt>
                <c:pt idx="36">
                  <c:v>71.2</c:v>
                </c:pt>
                <c:pt idx="37">
                  <c:v>71</c:v>
                </c:pt>
                <c:pt idx="38">
                  <c:v>70.7</c:v>
                </c:pt>
                <c:pt idx="39">
                  <c:v>70.7</c:v>
                </c:pt>
                <c:pt idx="40">
                  <c:v>69.5</c:v>
                </c:pt>
                <c:pt idx="41">
                  <c:v>70.400000000000006</c:v>
                </c:pt>
                <c:pt idx="42">
                  <c:v>70.8</c:v>
                </c:pt>
                <c:pt idx="43">
                  <c:v>70.8</c:v>
                </c:pt>
                <c:pt idx="44">
                  <c:v>70.3</c:v>
                </c:pt>
                <c:pt idx="45">
                  <c:v>71</c:v>
                </c:pt>
                <c:pt idx="46">
                  <c:v>71.2</c:v>
                </c:pt>
                <c:pt idx="47">
                  <c:v>71.099999999999994</c:v>
                </c:pt>
                <c:pt idx="48">
                  <c:v>70.599999999999994</c:v>
                </c:pt>
                <c:pt idx="49">
                  <c:v>71.5</c:v>
                </c:pt>
                <c:pt idx="50">
                  <c:v>72</c:v>
                </c:pt>
                <c:pt idx="51">
                  <c:v>71.900000000000006</c:v>
                </c:pt>
                <c:pt idx="52">
                  <c:v>71.599999999999994</c:v>
                </c:pt>
                <c:pt idx="53">
                  <c:v>72.7</c:v>
                </c:pt>
                <c:pt idx="54">
                  <c:v>72.8</c:v>
                </c:pt>
                <c:pt idx="55">
                  <c:v>73</c:v>
                </c:pt>
                <c:pt idx="56">
                  <c:v>72.7</c:v>
                </c:pt>
                <c:pt idx="57">
                  <c:v>73.3</c:v>
                </c:pt>
                <c:pt idx="58">
                  <c:v>73.900000000000006</c:v>
                </c:pt>
                <c:pt idx="59">
                  <c:v>74.3</c:v>
                </c:pt>
                <c:pt idx="60">
                  <c:v>74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Data!$A$174</c:f>
              <c:strCache>
                <c:ptCount val="1"/>
                <c:pt idx="0">
                  <c:v>Hungary</c:v>
                </c:pt>
              </c:strCache>
            </c:strRef>
          </c:tx>
          <c:marker>
            <c:symbol val="none"/>
          </c:marker>
          <c:cat>
            <c:strRef>
              <c:f>Data!$AH$151:$CP$151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Data!$AH$174:$CP$174</c:f>
              <c:numCache>
                <c:formatCode>#,##0.0</c:formatCode>
                <c:ptCount val="61"/>
                <c:pt idx="0">
                  <c:v>60.5</c:v>
                </c:pt>
                <c:pt idx="1">
                  <c:v>60.9</c:v>
                </c:pt>
                <c:pt idx="2">
                  <c:v>61.6</c:v>
                </c:pt>
                <c:pt idx="3">
                  <c:v>61.9</c:v>
                </c:pt>
                <c:pt idx="4">
                  <c:v>61.1</c:v>
                </c:pt>
                <c:pt idx="5">
                  <c:v>61.1</c:v>
                </c:pt>
                <c:pt idx="6">
                  <c:v>61.7</c:v>
                </c:pt>
                <c:pt idx="7">
                  <c:v>61.3</c:v>
                </c:pt>
                <c:pt idx="8">
                  <c:v>61</c:v>
                </c:pt>
                <c:pt idx="9">
                  <c:v>61.4</c:v>
                </c:pt>
                <c:pt idx="10">
                  <c:v>61.6</c:v>
                </c:pt>
                <c:pt idx="11">
                  <c:v>61.7</c:v>
                </c:pt>
                <c:pt idx="12">
                  <c:v>61.3</c:v>
                </c:pt>
                <c:pt idx="13">
                  <c:v>62.4</c:v>
                </c:pt>
                <c:pt idx="14">
                  <c:v>62.8</c:v>
                </c:pt>
                <c:pt idx="15">
                  <c:v>62.8</c:v>
                </c:pt>
                <c:pt idx="16">
                  <c:v>61.9</c:v>
                </c:pt>
                <c:pt idx="17">
                  <c:v>62</c:v>
                </c:pt>
                <c:pt idx="18">
                  <c:v>62.2</c:v>
                </c:pt>
                <c:pt idx="19">
                  <c:v>62.3</c:v>
                </c:pt>
                <c:pt idx="20">
                  <c:v>61.7</c:v>
                </c:pt>
                <c:pt idx="21">
                  <c:v>62.2</c:v>
                </c:pt>
                <c:pt idx="22">
                  <c:v>62.6</c:v>
                </c:pt>
                <c:pt idx="23">
                  <c:v>62.4</c:v>
                </c:pt>
                <c:pt idx="24">
                  <c:v>62.1</c:v>
                </c:pt>
                <c:pt idx="25">
                  <c:v>62.8</c:v>
                </c:pt>
                <c:pt idx="26">
                  <c:v>62.8</c:v>
                </c:pt>
                <c:pt idx="27">
                  <c:v>62.9</c:v>
                </c:pt>
                <c:pt idx="28">
                  <c:v>62.1</c:v>
                </c:pt>
                <c:pt idx="29">
                  <c:v>62.5</c:v>
                </c:pt>
                <c:pt idx="30">
                  <c:v>62.6</c:v>
                </c:pt>
                <c:pt idx="31">
                  <c:v>62</c:v>
                </c:pt>
                <c:pt idx="32">
                  <c:v>61</c:v>
                </c:pt>
                <c:pt idx="33">
                  <c:v>61.4</c:v>
                </c:pt>
                <c:pt idx="34">
                  <c:v>62.2</c:v>
                </c:pt>
                <c:pt idx="35">
                  <c:v>61.6</c:v>
                </c:pt>
                <c:pt idx="36">
                  <c:v>59.9</c:v>
                </c:pt>
                <c:pt idx="37">
                  <c:v>60.3</c:v>
                </c:pt>
                <c:pt idx="38">
                  <c:v>60.1</c:v>
                </c:pt>
                <c:pt idx="39">
                  <c:v>60.1</c:v>
                </c:pt>
                <c:pt idx="40">
                  <c:v>59.1</c:v>
                </c:pt>
                <c:pt idx="41">
                  <c:v>59.9</c:v>
                </c:pt>
                <c:pt idx="42">
                  <c:v>60.5</c:v>
                </c:pt>
                <c:pt idx="43">
                  <c:v>60.2</c:v>
                </c:pt>
                <c:pt idx="44">
                  <c:v>59.2</c:v>
                </c:pt>
                <c:pt idx="45">
                  <c:v>60.4</c:v>
                </c:pt>
                <c:pt idx="46">
                  <c:v>61</c:v>
                </c:pt>
                <c:pt idx="47">
                  <c:v>61</c:v>
                </c:pt>
                <c:pt idx="48">
                  <c:v>60.1</c:v>
                </c:pt>
                <c:pt idx="49">
                  <c:v>61.5</c:v>
                </c:pt>
                <c:pt idx="50">
                  <c:v>62.6</c:v>
                </c:pt>
                <c:pt idx="51">
                  <c:v>62.3</c:v>
                </c:pt>
                <c:pt idx="52">
                  <c:v>60.9</c:v>
                </c:pt>
                <c:pt idx="53">
                  <c:v>62.9</c:v>
                </c:pt>
                <c:pt idx="54">
                  <c:v>63.8</c:v>
                </c:pt>
                <c:pt idx="55">
                  <c:v>64.3</c:v>
                </c:pt>
                <c:pt idx="56">
                  <c:v>65.599999999999994</c:v>
                </c:pt>
                <c:pt idx="57">
                  <c:v>66.3</c:v>
                </c:pt>
                <c:pt idx="58">
                  <c:v>67.5</c:v>
                </c:pt>
                <c:pt idx="59">
                  <c:v>67.5</c:v>
                </c:pt>
                <c:pt idx="60">
                  <c:v>67.3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Data!$A$178</c:f>
              <c:strCache>
                <c:ptCount val="1"/>
                <c:pt idx="0">
                  <c:v>Poland</c:v>
                </c:pt>
              </c:strCache>
            </c:strRef>
          </c:tx>
          <c:marker>
            <c:symbol val="none"/>
          </c:marker>
          <c:cat>
            <c:strRef>
              <c:f>Data!$AH$151:$CP$151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Data!$AH$178:$CP$178</c:f>
              <c:numCache>
                <c:formatCode>#,##0.0</c:formatCode>
                <c:ptCount val="61"/>
                <c:pt idx="0">
                  <c:v>60.3</c:v>
                </c:pt>
                <c:pt idx="1">
                  <c:v>61.1</c:v>
                </c:pt>
                <c:pt idx="2">
                  <c:v>61.6</c:v>
                </c:pt>
                <c:pt idx="3">
                  <c:v>61</c:v>
                </c:pt>
                <c:pt idx="4">
                  <c:v>59.5</c:v>
                </c:pt>
                <c:pt idx="5">
                  <c:v>59.8</c:v>
                </c:pt>
                <c:pt idx="6">
                  <c:v>59.7</c:v>
                </c:pt>
                <c:pt idx="7">
                  <c:v>58.7</c:v>
                </c:pt>
                <c:pt idx="8">
                  <c:v>57.3</c:v>
                </c:pt>
                <c:pt idx="9">
                  <c:v>57.7</c:v>
                </c:pt>
                <c:pt idx="10">
                  <c:v>57.6</c:v>
                </c:pt>
                <c:pt idx="11">
                  <c:v>57.1</c:v>
                </c:pt>
                <c:pt idx="12">
                  <c:v>56.3</c:v>
                </c:pt>
                <c:pt idx="13">
                  <c:v>57.3</c:v>
                </c:pt>
                <c:pt idx="14">
                  <c:v>57.5</c:v>
                </c:pt>
                <c:pt idx="15">
                  <c:v>57.3</c:v>
                </c:pt>
                <c:pt idx="16">
                  <c:v>56.2</c:v>
                </c:pt>
                <c:pt idx="17">
                  <c:v>57</c:v>
                </c:pt>
                <c:pt idx="18">
                  <c:v>57.9</c:v>
                </c:pt>
                <c:pt idx="19">
                  <c:v>58.1</c:v>
                </c:pt>
                <c:pt idx="20">
                  <c:v>57.1</c:v>
                </c:pt>
                <c:pt idx="21">
                  <c:v>57.8</c:v>
                </c:pt>
                <c:pt idx="22">
                  <c:v>59.1</c:v>
                </c:pt>
                <c:pt idx="23">
                  <c:v>59.3</c:v>
                </c:pt>
                <c:pt idx="24">
                  <c:v>58.2</c:v>
                </c:pt>
                <c:pt idx="25">
                  <c:v>59.6</c:v>
                </c:pt>
                <c:pt idx="26">
                  <c:v>61.3</c:v>
                </c:pt>
                <c:pt idx="27">
                  <c:v>61.4</c:v>
                </c:pt>
                <c:pt idx="28">
                  <c:v>61.1</c:v>
                </c:pt>
                <c:pt idx="29">
                  <c:v>62.6</c:v>
                </c:pt>
                <c:pt idx="30">
                  <c:v>63.5</c:v>
                </c:pt>
                <c:pt idx="31">
                  <c:v>63.9</c:v>
                </c:pt>
                <c:pt idx="32">
                  <c:v>63.8</c:v>
                </c:pt>
                <c:pt idx="33">
                  <c:v>64.7</c:v>
                </c:pt>
                <c:pt idx="34">
                  <c:v>65.7</c:v>
                </c:pt>
                <c:pt idx="35">
                  <c:v>65.7</c:v>
                </c:pt>
                <c:pt idx="36">
                  <c:v>64.5</c:v>
                </c:pt>
                <c:pt idx="37">
                  <c:v>64.900000000000006</c:v>
                </c:pt>
                <c:pt idx="38">
                  <c:v>65.5</c:v>
                </c:pt>
                <c:pt idx="39">
                  <c:v>64.900000000000006</c:v>
                </c:pt>
                <c:pt idx="40">
                  <c:v>63.2</c:v>
                </c:pt>
                <c:pt idx="41">
                  <c:v>64.400000000000006</c:v>
                </c:pt>
                <c:pt idx="42">
                  <c:v>65.099999999999994</c:v>
                </c:pt>
                <c:pt idx="43">
                  <c:v>64.5</c:v>
                </c:pt>
                <c:pt idx="44">
                  <c:v>63.8</c:v>
                </c:pt>
                <c:pt idx="45">
                  <c:v>64.599999999999994</c:v>
                </c:pt>
                <c:pt idx="46">
                  <c:v>65</c:v>
                </c:pt>
                <c:pt idx="47">
                  <c:v>64.7</c:v>
                </c:pt>
                <c:pt idx="48">
                  <c:v>63.9</c:v>
                </c:pt>
                <c:pt idx="49">
                  <c:v>64.8</c:v>
                </c:pt>
                <c:pt idx="50">
                  <c:v>65.2</c:v>
                </c:pt>
                <c:pt idx="51">
                  <c:v>65</c:v>
                </c:pt>
                <c:pt idx="52">
                  <c:v>63.6</c:v>
                </c:pt>
                <c:pt idx="53">
                  <c:v>64.599999999999994</c:v>
                </c:pt>
                <c:pt idx="54">
                  <c:v>65.599999999999994</c:v>
                </c:pt>
                <c:pt idx="55">
                  <c:v>65.599999999999994</c:v>
                </c:pt>
                <c:pt idx="56">
                  <c:v>65.099999999999994</c:v>
                </c:pt>
                <c:pt idx="57">
                  <c:v>66.099999999999994</c:v>
                </c:pt>
                <c:pt idx="58">
                  <c:v>67.3</c:v>
                </c:pt>
                <c:pt idx="59">
                  <c:v>67.400000000000006</c:v>
                </c:pt>
                <c:pt idx="60">
                  <c:v>66.7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Data!$A$182</c:f>
              <c:strCache>
                <c:ptCount val="1"/>
                <c:pt idx="0">
                  <c:v>Slovakia</c:v>
                </c:pt>
              </c:strCache>
            </c:strRef>
          </c:tx>
          <c:marker>
            <c:symbol val="none"/>
          </c:marker>
          <c:cat>
            <c:strRef>
              <c:f>Data!$AH$151:$CP$151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Data!$AH$182:$CP$182</c:f>
              <c:numCache>
                <c:formatCode>#,##0.0</c:formatCode>
                <c:ptCount val="61"/>
                <c:pt idx="0">
                  <c:v>63.3</c:v>
                </c:pt>
                <c:pt idx="1">
                  <c:v>63</c:v>
                </c:pt>
                <c:pt idx="2">
                  <c:v>63.7</c:v>
                </c:pt>
                <c:pt idx="3">
                  <c:v>64.099999999999994</c:v>
                </c:pt>
                <c:pt idx="4">
                  <c:v>62.8</c:v>
                </c:pt>
                <c:pt idx="5">
                  <c:v>63.4</c:v>
                </c:pt>
                <c:pt idx="6">
                  <c:v>64</c:v>
                </c:pt>
                <c:pt idx="7">
                  <c:v>64</c:v>
                </c:pt>
                <c:pt idx="8">
                  <c:v>62.9</c:v>
                </c:pt>
                <c:pt idx="9">
                  <c:v>63.2</c:v>
                </c:pt>
                <c:pt idx="10">
                  <c:v>64</c:v>
                </c:pt>
                <c:pt idx="11">
                  <c:v>64.3</c:v>
                </c:pt>
                <c:pt idx="12">
                  <c:v>63.7</c:v>
                </c:pt>
                <c:pt idx="13">
                  <c:v>65</c:v>
                </c:pt>
                <c:pt idx="14">
                  <c:v>65.599999999999994</c:v>
                </c:pt>
                <c:pt idx="15">
                  <c:v>64.900000000000006</c:v>
                </c:pt>
                <c:pt idx="16">
                  <c:v>62.8</c:v>
                </c:pt>
                <c:pt idx="17">
                  <c:v>63.5</c:v>
                </c:pt>
                <c:pt idx="18">
                  <c:v>64.3</c:v>
                </c:pt>
                <c:pt idx="19">
                  <c:v>64.3</c:v>
                </c:pt>
                <c:pt idx="20">
                  <c:v>63.6</c:v>
                </c:pt>
                <c:pt idx="21">
                  <c:v>64.3</c:v>
                </c:pt>
                <c:pt idx="22">
                  <c:v>64.8</c:v>
                </c:pt>
                <c:pt idx="23">
                  <c:v>65.3</c:v>
                </c:pt>
                <c:pt idx="24">
                  <c:v>64.8</c:v>
                </c:pt>
                <c:pt idx="25">
                  <c:v>65.8</c:v>
                </c:pt>
                <c:pt idx="26">
                  <c:v>66.5</c:v>
                </c:pt>
                <c:pt idx="27">
                  <c:v>66.8</c:v>
                </c:pt>
                <c:pt idx="28">
                  <c:v>66.7</c:v>
                </c:pt>
                <c:pt idx="29">
                  <c:v>67</c:v>
                </c:pt>
                <c:pt idx="30">
                  <c:v>67.2</c:v>
                </c:pt>
                <c:pt idx="31">
                  <c:v>68.099999999999994</c:v>
                </c:pt>
                <c:pt idx="32">
                  <c:v>67.900000000000006</c:v>
                </c:pt>
                <c:pt idx="33">
                  <c:v>68.3</c:v>
                </c:pt>
                <c:pt idx="34">
                  <c:v>69.7</c:v>
                </c:pt>
                <c:pt idx="35">
                  <c:v>69.5</c:v>
                </c:pt>
                <c:pt idx="36">
                  <c:v>67.3</c:v>
                </c:pt>
                <c:pt idx="37">
                  <c:v>66.599999999999994</c:v>
                </c:pt>
                <c:pt idx="38">
                  <c:v>66.3</c:v>
                </c:pt>
                <c:pt idx="39">
                  <c:v>65.3</c:v>
                </c:pt>
                <c:pt idx="40">
                  <c:v>64</c:v>
                </c:pt>
                <c:pt idx="41">
                  <c:v>64.5</c:v>
                </c:pt>
                <c:pt idx="42">
                  <c:v>65</c:v>
                </c:pt>
                <c:pt idx="43">
                  <c:v>65.099999999999994</c:v>
                </c:pt>
                <c:pt idx="44">
                  <c:v>64.400000000000006</c:v>
                </c:pt>
                <c:pt idx="45">
                  <c:v>65.099999999999994</c:v>
                </c:pt>
                <c:pt idx="46">
                  <c:v>65.400000000000006</c:v>
                </c:pt>
                <c:pt idx="47">
                  <c:v>65</c:v>
                </c:pt>
                <c:pt idx="48">
                  <c:v>64.900000000000006</c:v>
                </c:pt>
                <c:pt idx="49">
                  <c:v>65.2</c:v>
                </c:pt>
                <c:pt idx="50">
                  <c:v>65.400000000000006</c:v>
                </c:pt>
                <c:pt idx="51">
                  <c:v>64.599999999999994</c:v>
                </c:pt>
                <c:pt idx="52">
                  <c:v>64.900000000000006</c:v>
                </c:pt>
                <c:pt idx="53">
                  <c:v>65</c:v>
                </c:pt>
                <c:pt idx="54">
                  <c:v>65.2</c:v>
                </c:pt>
                <c:pt idx="55">
                  <c:v>65</c:v>
                </c:pt>
                <c:pt idx="56">
                  <c:v>65.099999999999994</c:v>
                </c:pt>
                <c:pt idx="57">
                  <c:v>65.7</c:v>
                </c:pt>
                <c:pt idx="58">
                  <c:v>66.3</c:v>
                </c:pt>
                <c:pt idx="59">
                  <c:v>66.599999999999994</c:v>
                </c:pt>
                <c:pt idx="60">
                  <c:v>66.8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82943360"/>
        <c:axId val="82949248"/>
      </c:lineChart>
      <c:catAx>
        <c:axId val="82943360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en-US"/>
          </a:p>
        </c:txPr>
        <c:crossAx val="82949248"/>
        <c:crosses val="autoZero"/>
        <c:auto val="1"/>
        <c:lblAlgn val="ctr"/>
        <c:lblOffset val="100"/>
        <c:noMultiLvlLbl val="0"/>
      </c:catAx>
      <c:valAx>
        <c:axId val="82949248"/>
        <c:scaling>
          <c:orientation val="minMax"/>
          <c:max val="75"/>
          <c:min val="55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en-US"/>
          </a:p>
        </c:txPr>
        <c:crossAx val="82943360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3.6751042302614764E-2"/>
          <c:y val="0.86857200315579408"/>
          <c:w val="0.90529160992052937"/>
          <c:h val="0.10124870554879704"/>
        </c:manualLayout>
      </c:layout>
      <c:overlay val="0"/>
      <c:txPr>
        <a:bodyPr/>
        <a:lstStyle/>
        <a:p>
          <a:pPr>
            <a:defRPr sz="800"/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'Zamestnanci podľa typu PČ'!$A$8</c:f>
              <c:strCache>
                <c:ptCount val="1"/>
                <c:pt idx="0">
                  <c:v>Práca stála</c:v>
                </c:pt>
              </c:strCache>
            </c:strRef>
          </c:tx>
          <c:invertIfNegative val="0"/>
          <c:cat>
            <c:strRef>
              <c:f>'Zamestnanci podľa typu PČ'!$Z$1:$CH$1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'Zamestnanci podľa typu PČ'!$Z$8:$CH$8</c:f>
              <c:numCache>
                <c:formatCode>#,##0.00</c:formatCode>
                <c:ptCount val="61"/>
                <c:pt idx="0">
                  <c:v>1857.1</c:v>
                </c:pt>
                <c:pt idx="1">
                  <c:v>1838.7</c:v>
                </c:pt>
                <c:pt idx="2">
                  <c:v>1828.7</c:v>
                </c:pt>
                <c:pt idx="3">
                  <c:v>1826.1</c:v>
                </c:pt>
                <c:pt idx="4">
                  <c:v>1850.8</c:v>
                </c:pt>
                <c:pt idx="5">
                  <c:v>1836.6</c:v>
                </c:pt>
                <c:pt idx="6">
                  <c:v>1843.4</c:v>
                </c:pt>
                <c:pt idx="7">
                  <c:v>1853.7</c:v>
                </c:pt>
                <c:pt idx="8">
                  <c:v>1841.7</c:v>
                </c:pt>
                <c:pt idx="9">
                  <c:v>1839.4</c:v>
                </c:pt>
                <c:pt idx="10">
                  <c:v>1841.6</c:v>
                </c:pt>
                <c:pt idx="11">
                  <c:v>1853</c:v>
                </c:pt>
                <c:pt idx="12">
                  <c:v>1853.5</c:v>
                </c:pt>
                <c:pt idx="13">
                  <c:v>1859</c:v>
                </c:pt>
                <c:pt idx="14">
                  <c:v>1847.6</c:v>
                </c:pt>
                <c:pt idx="15">
                  <c:v>1836.5</c:v>
                </c:pt>
                <c:pt idx="16">
                  <c:v>1801.8</c:v>
                </c:pt>
                <c:pt idx="17">
                  <c:v>1781.1</c:v>
                </c:pt>
                <c:pt idx="18">
                  <c:v>1800.1</c:v>
                </c:pt>
                <c:pt idx="19">
                  <c:v>1805.5</c:v>
                </c:pt>
                <c:pt idx="20">
                  <c:v>1798.6</c:v>
                </c:pt>
                <c:pt idx="21">
                  <c:v>1811.2</c:v>
                </c:pt>
                <c:pt idx="22">
                  <c:v>1845.3</c:v>
                </c:pt>
                <c:pt idx="23">
                  <c:v>1873.5</c:v>
                </c:pt>
                <c:pt idx="24">
                  <c:v>1874.5</c:v>
                </c:pt>
                <c:pt idx="25">
                  <c:v>1891.7</c:v>
                </c:pt>
                <c:pt idx="26">
                  <c:v>1912.7</c:v>
                </c:pt>
                <c:pt idx="27">
                  <c:v>1921.6</c:v>
                </c:pt>
                <c:pt idx="28">
                  <c:v>1914.6</c:v>
                </c:pt>
                <c:pt idx="29">
                  <c:v>1921.9</c:v>
                </c:pt>
                <c:pt idx="30">
                  <c:v>1944.6</c:v>
                </c:pt>
                <c:pt idx="31">
                  <c:v>1978.1</c:v>
                </c:pt>
                <c:pt idx="32">
                  <c:v>1979</c:v>
                </c:pt>
                <c:pt idx="33">
                  <c:v>1988.7</c:v>
                </c:pt>
                <c:pt idx="34">
                  <c:v>2004.2</c:v>
                </c:pt>
                <c:pt idx="35">
                  <c:v>2013.6</c:v>
                </c:pt>
                <c:pt idx="36">
                  <c:v>1943.8</c:v>
                </c:pt>
                <c:pt idx="37">
                  <c:v>1920</c:v>
                </c:pt>
                <c:pt idx="38">
                  <c:v>1892.3</c:v>
                </c:pt>
                <c:pt idx="39">
                  <c:v>1873.2</c:v>
                </c:pt>
                <c:pt idx="40">
                  <c:v>1821</c:v>
                </c:pt>
                <c:pt idx="41">
                  <c:v>1830.4</c:v>
                </c:pt>
                <c:pt idx="42">
                  <c:v>1839.9</c:v>
                </c:pt>
                <c:pt idx="43">
                  <c:v>1848.3</c:v>
                </c:pt>
                <c:pt idx="44">
                  <c:v>1806.6</c:v>
                </c:pt>
                <c:pt idx="45">
                  <c:v>1821.9</c:v>
                </c:pt>
                <c:pt idx="46">
                  <c:v>1826.8</c:v>
                </c:pt>
                <c:pt idx="47">
                  <c:v>1809.6</c:v>
                </c:pt>
                <c:pt idx="48">
                  <c:v>1827.1</c:v>
                </c:pt>
                <c:pt idx="49">
                  <c:v>1833</c:v>
                </c:pt>
                <c:pt idx="50">
                  <c:v>1840.6</c:v>
                </c:pt>
                <c:pt idx="51">
                  <c:v>1835.9</c:v>
                </c:pt>
                <c:pt idx="52">
                  <c:v>1831.7</c:v>
                </c:pt>
                <c:pt idx="53">
                  <c:v>1827</c:v>
                </c:pt>
                <c:pt idx="54">
                  <c:v>1836.4</c:v>
                </c:pt>
                <c:pt idx="55">
                  <c:v>1824.6</c:v>
                </c:pt>
                <c:pt idx="56">
                  <c:v>1819.4</c:v>
                </c:pt>
                <c:pt idx="57">
                  <c:v>1820.8</c:v>
                </c:pt>
                <c:pt idx="58">
                  <c:v>1819</c:v>
                </c:pt>
                <c:pt idx="59">
                  <c:v>1826.1</c:v>
                </c:pt>
                <c:pt idx="60">
                  <c:v>1823.1</c:v>
                </c:pt>
              </c:numCache>
            </c:numRef>
          </c:val>
        </c:ser>
        <c:ser>
          <c:idx val="1"/>
          <c:order val="1"/>
          <c:tx>
            <c:strRef>
              <c:f>'Zamestnanci podľa typu PČ'!$A$9</c:f>
              <c:strCache>
                <c:ptCount val="1"/>
                <c:pt idx="0">
                  <c:v>Práca dočasná, príležitostná, sezónna</c:v>
                </c:pt>
              </c:strCache>
            </c:strRef>
          </c:tx>
          <c:invertIfNegative val="0"/>
          <c:cat>
            <c:strRef>
              <c:f>'Zamestnanci podľa typu PČ'!$Z$1:$CH$1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'Zamestnanci podľa typu PČ'!$Z$9:$CH$9</c:f>
              <c:numCache>
                <c:formatCode>General</c:formatCode>
                <c:ptCount val="61"/>
                <c:pt idx="0">
                  <c:v>71.400000000000006</c:v>
                </c:pt>
                <c:pt idx="1">
                  <c:v>77.5</c:v>
                </c:pt>
                <c:pt idx="2">
                  <c:v>102.8</c:v>
                </c:pt>
                <c:pt idx="3">
                  <c:v>121.6</c:v>
                </c:pt>
                <c:pt idx="4">
                  <c:v>71.7</c:v>
                </c:pt>
                <c:pt idx="5">
                  <c:v>99</c:v>
                </c:pt>
                <c:pt idx="6">
                  <c:v>112.3</c:v>
                </c:pt>
                <c:pt idx="7">
                  <c:v>105.8</c:v>
                </c:pt>
                <c:pt idx="8">
                  <c:v>85.1</c:v>
                </c:pt>
                <c:pt idx="9">
                  <c:v>94.2</c:v>
                </c:pt>
                <c:pt idx="10">
                  <c:v>109.3</c:v>
                </c:pt>
                <c:pt idx="11">
                  <c:v>99.4</c:v>
                </c:pt>
                <c:pt idx="12">
                  <c:v>72.2</c:v>
                </c:pt>
                <c:pt idx="13">
                  <c:v>99.6</c:v>
                </c:pt>
                <c:pt idx="14">
                  <c:v>117</c:v>
                </c:pt>
                <c:pt idx="15">
                  <c:v>105</c:v>
                </c:pt>
                <c:pt idx="16">
                  <c:v>89.1</c:v>
                </c:pt>
                <c:pt idx="17">
                  <c:v>105.5</c:v>
                </c:pt>
                <c:pt idx="18">
                  <c:v>122.9</c:v>
                </c:pt>
                <c:pt idx="19">
                  <c:v>110.7</c:v>
                </c:pt>
                <c:pt idx="20">
                  <c:v>90.8</c:v>
                </c:pt>
                <c:pt idx="21">
                  <c:v>96.4</c:v>
                </c:pt>
                <c:pt idx="22">
                  <c:v>105.4</c:v>
                </c:pt>
                <c:pt idx="23">
                  <c:v>94.7</c:v>
                </c:pt>
                <c:pt idx="24">
                  <c:v>86.8</c:v>
                </c:pt>
                <c:pt idx="25">
                  <c:v>103.8</c:v>
                </c:pt>
                <c:pt idx="26">
                  <c:v>111.2</c:v>
                </c:pt>
                <c:pt idx="27">
                  <c:v>107.4</c:v>
                </c:pt>
                <c:pt idx="28">
                  <c:v>106.6</c:v>
                </c:pt>
                <c:pt idx="29">
                  <c:v>108.8</c:v>
                </c:pt>
                <c:pt idx="30">
                  <c:v>101.4</c:v>
                </c:pt>
                <c:pt idx="31">
                  <c:v>97.9</c:v>
                </c:pt>
                <c:pt idx="32">
                  <c:v>84.3</c:v>
                </c:pt>
                <c:pt idx="33">
                  <c:v>86.6</c:v>
                </c:pt>
                <c:pt idx="34">
                  <c:v>116.4</c:v>
                </c:pt>
                <c:pt idx="35">
                  <c:v>104</c:v>
                </c:pt>
                <c:pt idx="36">
                  <c:v>80.599999999999994</c:v>
                </c:pt>
                <c:pt idx="37">
                  <c:v>83.4</c:v>
                </c:pt>
                <c:pt idx="38">
                  <c:v>95.8</c:v>
                </c:pt>
                <c:pt idx="39">
                  <c:v>89.6</c:v>
                </c:pt>
                <c:pt idx="40">
                  <c:v>85.9</c:v>
                </c:pt>
                <c:pt idx="41">
                  <c:v>113.3</c:v>
                </c:pt>
                <c:pt idx="42">
                  <c:v>129.80000000000001</c:v>
                </c:pt>
                <c:pt idx="43">
                  <c:v>119.7</c:v>
                </c:pt>
                <c:pt idx="44">
                  <c:v>118.8</c:v>
                </c:pt>
                <c:pt idx="45">
                  <c:v>133.80000000000001</c:v>
                </c:pt>
                <c:pt idx="46">
                  <c:v>131.30000000000001</c:v>
                </c:pt>
                <c:pt idx="47">
                  <c:v>136.69999999999999</c:v>
                </c:pt>
                <c:pt idx="48">
                  <c:v>137.19999999999999</c:v>
                </c:pt>
                <c:pt idx="49">
                  <c:v>138.80000000000001</c:v>
                </c:pt>
                <c:pt idx="50">
                  <c:v>137.1</c:v>
                </c:pt>
                <c:pt idx="51">
                  <c:v>125.7</c:v>
                </c:pt>
                <c:pt idx="52">
                  <c:v>132</c:v>
                </c:pt>
                <c:pt idx="53">
                  <c:v>139.5</c:v>
                </c:pt>
                <c:pt idx="54">
                  <c:v>141.69999999999999</c:v>
                </c:pt>
                <c:pt idx="55">
                  <c:v>134.6</c:v>
                </c:pt>
                <c:pt idx="56">
                  <c:v>148.4</c:v>
                </c:pt>
                <c:pt idx="57">
                  <c:v>171</c:v>
                </c:pt>
                <c:pt idx="58">
                  <c:v>188.4</c:v>
                </c:pt>
                <c:pt idx="59">
                  <c:v>202.1</c:v>
                </c:pt>
                <c:pt idx="60">
                  <c:v>205.4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82957824"/>
        <c:axId val="82959360"/>
      </c:barChart>
      <c:catAx>
        <c:axId val="82957824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en-US"/>
          </a:p>
        </c:txPr>
        <c:crossAx val="82959360"/>
        <c:crosses val="autoZero"/>
        <c:auto val="1"/>
        <c:lblAlgn val="ctr"/>
        <c:lblOffset val="100"/>
        <c:noMultiLvlLbl val="0"/>
      </c:catAx>
      <c:valAx>
        <c:axId val="82959360"/>
        <c:scaling>
          <c:orientation val="minMax"/>
          <c:min val="1500"/>
        </c:scaling>
        <c:delete val="0"/>
        <c:axPos val="l"/>
        <c:majorGridlines/>
        <c:numFmt formatCode="#,##0.00" sourceLinked="1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en-US"/>
          </a:p>
        </c:txPr>
        <c:crossAx val="82957824"/>
        <c:crosses val="autoZero"/>
        <c:crossBetween val="between"/>
      </c:valAx>
    </c:plotArea>
    <c:legend>
      <c:legendPos val="b"/>
      <c:overlay val="0"/>
      <c:txPr>
        <a:bodyPr/>
        <a:lstStyle/>
        <a:p>
          <a:pPr>
            <a:defRPr sz="800"/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'Zamestnanci podľa typu PČ'!$A$16</c:f>
              <c:strCache>
                <c:ptCount val="1"/>
                <c:pt idx="0">
                  <c:v>Práca stála</c:v>
                </c:pt>
              </c:strCache>
            </c:strRef>
          </c:tx>
          <c:invertIfNegative val="0"/>
          <c:cat>
            <c:strRef>
              <c:f>'Zamestnanci podľa typu PČ'!$Z$1:$CH$1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'Zamestnanci podľa typu PČ'!$Z$16:$CH$16</c:f>
              <c:numCache>
                <c:formatCode>General</c:formatCode>
                <c:ptCount val="61"/>
                <c:pt idx="0">
                  <c:v>967.5</c:v>
                </c:pt>
                <c:pt idx="1">
                  <c:v>963.7</c:v>
                </c:pt>
                <c:pt idx="2">
                  <c:v>961.3</c:v>
                </c:pt>
                <c:pt idx="3">
                  <c:v>956.2</c:v>
                </c:pt>
                <c:pt idx="4">
                  <c:v>956.9</c:v>
                </c:pt>
                <c:pt idx="5">
                  <c:v>954.3</c:v>
                </c:pt>
                <c:pt idx="6">
                  <c:v>960.7</c:v>
                </c:pt>
                <c:pt idx="7">
                  <c:v>973.9</c:v>
                </c:pt>
                <c:pt idx="8">
                  <c:v>968.5</c:v>
                </c:pt>
                <c:pt idx="9">
                  <c:v>959</c:v>
                </c:pt>
                <c:pt idx="10">
                  <c:v>958.4</c:v>
                </c:pt>
                <c:pt idx="11">
                  <c:v>969.2</c:v>
                </c:pt>
                <c:pt idx="12">
                  <c:v>965.1</c:v>
                </c:pt>
                <c:pt idx="13">
                  <c:v>970.4</c:v>
                </c:pt>
                <c:pt idx="14">
                  <c:v>971.3</c:v>
                </c:pt>
                <c:pt idx="15">
                  <c:v>960.9</c:v>
                </c:pt>
                <c:pt idx="16">
                  <c:v>942.7</c:v>
                </c:pt>
                <c:pt idx="17">
                  <c:v>932.9</c:v>
                </c:pt>
                <c:pt idx="18">
                  <c:v>940.9</c:v>
                </c:pt>
                <c:pt idx="19">
                  <c:v>941.6</c:v>
                </c:pt>
                <c:pt idx="20">
                  <c:v>939.5</c:v>
                </c:pt>
                <c:pt idx="21">
                  <c:v>953.1</c:v>
                </c:pt>
                <c:pt idx="22">
                  <c:v>980.5</c:v>
                </c:pt>
                <c:pt idx="23">
                  <c:v>999.6</c:v>
                </c:pt>
                <c:pt idx="24" formatCode="#,##0.00">
                  <c:v>1004.2</c:v>
                </c:pt>
                <c:pt idx="25" formatCode="#,##0.00">
                  <c:v>1016.5</c:v>
                </c:pt>
                <c:pt idx="26" formatCode="#,##0.00">
                  <c:v>1024.9000000000001</c:v>
                </c:pt>
                <c:pt idx="27" formatCode="#,##0.00">
                  <c:v>1031</c:v>
                </c:pt>
                <c:pt idx="28" formatCode="#,##0.00">
                  <c:v>1021.2</c:v>
                </c:pt>
                <c:pt idx="29" formatCode="#,##0.00">
                  <c:v>1029.8</c:v>
                </c:pt>
                <c:pt idx="30" formatCode="#,##0.00">
                  <c:v>1044.2</c:v>
                </c:pt>
                <c:pt idx="31" formatCode="#,##0.00">
                  <c:v>1055.3</c:v>
                </c:pt>
                <c:pt idx="32" formatCode="#,##0.00">
                  <c:v>1049.2</c:v>
                </c:pt>
                <c:pt idx="33" formatCode="#,##0.00">
                  <c:v>1053.5999999999999</c:v>
                </c:pt>
                <c:pt idx="34" formatCode="#,##0.00">
                  <c:v>1066</c:v>
                </c:pt>
                <c:pt idx="35" formatCode="#,##0.00">
                  <c:v>1074.3</c:v>
                </c:pt>
                <c:pt idx="36" formatCode="#,##0.00">
                  <c:v>1034.8</c:v>
                </c:pt>
                <c:pt idx="37" formatCode="#,##0.00">
                  <c:v>1017.6</c:v>
                </c:pt>
                <c:pt idx="38" formatCode="#,##0.00">
                  <c:v>1000.7</c:v>
                </c:pt>
                <c:pt idx="39">
                  <c:v>981.3</c:v>
                </c:pt>
                <c:pt idx="40">
                  <c:v>944.4</c:v>
                </c:pt>
                <c:pt idx="41">
                  <c:v>953.7</c:v>
                </c:pt>
                <c:pt idx="42">
                  <c:v>957.3</c:v>
                </c:pt>
                <c:pt idx="43">
                  <c:v>960.6</c:v>
                </c:pt>
                <c:pt idx="44">
                  <c:v>947</c:v>
                </c:pt>
                <c:pt idx="45">
                  <c:v>959.2</c:v>
                </c:pt>
                <c:pt idx="46">
                  <c:v>963.5</c:v>
                </c:pt>
                <c:pt idx="47">
                  <c:v>958.9</c:v>
                </c:pt>
                <c:pt idx="48">
                  <c:v>971.7</c:v>
                </c:pt>
                <c:pt idx="49">
                  <c:v>973.3</c:v>
                </c:pt>
                <c:pt idx="50">
                  <c:v>983.3</c:v>
                </c:pt>
                <c:pt idx="51">
                  <c:v>983.4</c:v>
                </c:pt>
                <c:pt idx="52">
                  <c:v>972.6</c:v>
                </c:pt>
                <c:pt idx="53">
                  <c:v>969</c:v>
                </c:pt>
                <c:pt idx="54">
                  <c:v>968.1</c:v>
                </c:pt>
                <c:pt idx="55">
                  <c:v>949.3</c:v>
                </c:pt>
                <c:pt idx="56">
                  <c:v>948.5</c:v>
                </c:pt>
                <c:pt idx="57">
                  <c:v>959.7</c:v>
                </c:pt>
                <c:pt idx="58">
                  <c:v>965.4</c:v>
                </c:pt>
                <c:pt idx="59">
                  <c:v>967.4</c:v>
                </c:pt>
                <c:pt idx="60">
                  <c:v>970.7</c:v>
                </c:pt>
              </c:numCache>
            </c:numRef>
          </c:val>
        </c:ser>
        <c:ser>
          <c:idx val="1"/>
          <c:order val="1"/>
          <c:tx>
            <c:strRef>
              <c:f>'Zamestnanci podľa typu PČ'!$A$17</c:f>
              <c:strCache>
                <c:ptCount val="1"/>
                <c:pt idx="0">
                  <c:v>Práca dočasná, príležitostná, sezónna</c:v>
                </c:pt>
              </c:strCache>
            </c:strRef>
          </c:tx>
          <c:invertIfNegative val="0"/>
          <c:cat>
            <c:strRef>
              <c:f>'Zamestnanci podľa typu PČ'!$Z$1:$CH$1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'Zamestnanci podľa typu PČ'!$Z$17:$CH$17</c:f>
              <c:numCache>
                <c:formatCode>General</c:formatCode>
                <c:ptCount val="61"/>
                <c:pt idx="0">
                  <c:v>37.299999999999997</c:v>
                </c:pt>
                <c:pt idx="1">
                  <c:v>38.4</c:v>
                </c:pt>
                <c:pt idx="2">
                  <c:v>60.1</c:v>
                </c:pt>
                <c:pt idx="3">
                  <c:v>71.3</c:v>
                </c:pt>
                <c:pt idx="4">
                  <c:v>38.9</c:v>
                </c:pt>
                <c:pt idx="5">
                  <c:v>53.6</c:v>
                </c:pt>
                <c:pt idx="6">
                  <c:v>64.099999999999994</c:v>
                </c:pt>
                <c:pt idx="7">
                  <c:v>58.1</c:v>
                </c:pt>
                <c:pt idx="8">
                  <c:v>44.9</c:v>
                </c:pt>
                <c:pt idx="9">
                  <c:v>53.6</c:v>
                </c:pt>
                <c:pt idx="10">
                  <c:v>65</c:v>
                </c:pt>
                <c:pt idx="11">
                  <c:v>58</c:v>
                </c:pt>
                <c:pt idx="12">
                  <c:v>37.200000000000003</c:v>
                </c:pt>
                <c:pt idx="13">
                  <c:v>57.7</c:v>
                </c:pt>
                <c:pt idx="14">
                  <c:v>69.7</c:v>
                </c:pt>
                <c:pt idx="15">
                  <c:v>60.2</c:v>
                </c:pt>
                <c:pt idx="16">
                  <c:v>48.4</c:v>
                </c:pt>
                <c:pt idx="17">
                  <c:v>60</c:v>
                </c:pt>
                <c:pt idx="18">
                  <c:v>73.099999999999994</c:v>
                </c:pt>
                <c:pt idx="19">
                  <c:v>64</c:v>
                </c:pt>
                <c:pt idx="20">
                  <c:v>47</c:v>
                </c:pt>
                <c:pt idx="21">
                  <c:v>52.5</c:v>
                </c:pt>
                <c:pt idx="22">
                  <c:v>59.2</c:v>
                </c:pt>
                <c:pt idx="23">
                  <c:v>50.7</c:v>
                </c:pt>
                <c:pt idx="24">
                  <c:v>45.3</c:v>
                </c:pt>
                <c:pt idx="25">
                  <c:v>56</c:v>
                </c:pt>
                <c:pt idx="26">
                  <c:v>59.8</c:v>
                </c:pt>
                <c:pt idx="27">
                  <c:v>55.3</c:v>
                </c:pt>
                <c:pt idx="28">
                  <c:v>53</c:v>
                </c:pt>
                <c:pt idx="29">
                  <c:v>54.9</c:v>
                </c:pt>
                <c:pt idx="30">
                  <c:v>53.8</c:v>
                </c:pt>
                <c:pt idx="31">
                  <c:v>53</c:v>
                </c:pt>
                <c:pt idx="32">
                  <c:v>42.4</c:v>
                </c:pt>
                <c:pt idx="33">
                  <c:v>43.8</c:v>
                </c:pt>
                <c:pt idx="34">
                  <c:v>60.6</c:v>
                </c:pt>
                <c:pt idx="35">
                  <c:v>56.2</c:v>
                </c:pt>
                <c:pt idx="36">
                  <c:v>44.2</c:v>
                </c:pt>
                <c:pt idx="37">
                  <c:v>48.6</c:v>
                </c:pt>
                <c:pt idx="38">
                  <c:v>52.6</c:v>
                </c:pt>
                <c:pt idx="39">
                  <c:v>48.7</c:v>
                </c:pt>
                <c:pt idx="40">
                  <c:v>43.1</c:v>
                </c:pt>
                <c:pt idx="41">
                  <c:v>58.7</c:v>
                </c:pt>
                <c:pt idx="42">
                  <c:v>65.099999999999994</c:v>
                </c:pt>
                <c:pt idx="43">
                  <c:v>61.1</c:v>
                </c:pt>
                <c:pt idx="44">
                  <c:v>57.9</c:v>
                </c:pt>
                <c:pt idx="45">
                  <c:v>66.400000000000006</c:v>
                </c:pt>
                <c:pt idx="46">
                  <c:v>67.400000000000006</c:v>
                </c:pt>
                <c:pt idx="47">
                  <c:v>71.5</c:v>
                </c:pt>
                <c:pt idx="48">
                  <c:v>68.8</c:v>
                </c:pt>
                <c:pt idx="49">
                  <c:v>68.599999999999994</c:v>
                </c:pt>
                <c:pt idx="50">
                  <c:v>70.5</c:v>
                </c:pt>
                <c:pt idx="51">
                  <c:v>61.3</c:v>
                </c:pt>
                <c:pt idx="52">
                  <c:v>64.3</c:v>
                </c:pt>
                <c:pt idx="53">
                  <c:v>70.2</c:v>
                </c:pt>
                <c:pt idx="54">
                  <c:v>73</c:v>
                </c:pt>
                <c:pt idx="55">
                  <c:v>69.2</c:v>
                </c:pt>
                <c:pt idx="56">
                  <c:v>77.5</c:v>
                </c:pt>
                <c:pt idx="57">
                  <c:v>93.4</c:v>
                </c:pt>
                <c:pt idx="58">
                  <c:v>103.7</c:v>
                </c:pt>
                <c:pt idx="59">
                  <c:v>109.7</c:v>
                </c:pt>
                <c:pt idx="60">
                  <c:v>102.9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18164864"/>
        <c:axId val="118174848"/>
      </c:barChart>
      <c:catAx>
        <c:axId val="118164864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en-US"/>
          </a:p>
        </c:txPr>
        <c:crossAx val="118174848"/>
        <c:crosses val="autoZero"/>
        <c:auto val="1"/>
        <c:lblAlgn val="ctr"/>
        <c:lblOffset val="100"/>
        <c:noMultiLvlLbl val="0"/>
      </c:catAx>
      <c:valAx>
        <c:axId val="118174848"/>
        <c:scaling>
          <c:orientation val="minMax"/>
          <c:min val="600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en-US"/>
          </a:p>
        </c:txPr>
        <c:crossAx val="118164864"/>
        <c:crosses val="autoZero"/>
        <c:crossBetween val="between"/>
      </c:valAx>
    </c:plotArea>
    <c:legend>
      <c:legendPos val="b"/>
      <c:overlay val="0"/>
      <c:txPr>
        <a:bodyPr/>
        <a:lstStyle/>
        <a:p>
          <a:pPr>
            <a:defRPr sz="800"/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'Zamestnanci podľa typu PČ'!$A$24</c:f>
              <c:strCache>
                <c:ptCount val="1"/>
                <c:pt idx="0">
                  <c:v>Práca stála</c:v>
                </c:pt>
              </c:strCache>
            </c:strRef>
          </c:tx>
          <c:invertIfNegative val="0"/>
          <c:cat>
            <c:strRef>
              <c:f>'Zamestnanci podľa typu PČ'!$Z$1:$CH$1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'Zamestnanci podľa typu PČ'!$Z$24:$CH$24</c:f>
              <c:numCache>
                <c:formatCode>General</c:formatCode>
                <c:ptCount val="61"/>
                <c:pt idx="0">
                  <c:v>889.6</c:v>
                </c:pt>
                <c:pt idx="1">
                  <c:v>875</c:v>
                </c:pt>
                <c:pt idx="2">
                  <c:v>867.4</c:v>
                </c:pt>
                <c:pt idx="3">
                  <c:v>869.9</c:v>
                </c:pt>
                <c:pt idx="4">
                  <c:v>893.9</c:v>
                </c:pt>
                <c:pt idx="5">
                  <c:v>882.4</c:v>
                </c:pt>
                <c:pt idx="6">
                  <c:v>882.8</c:v>
                </c:pt>
                <c:pt idx="7">
                  <c:v>879.8</c:v>
                </c:pt>
                <c:pt idx="8">
                  <c:v>873.2</c:v>
                </c:pt>
                <c:pt idx="9">
                  <c:v>880.5</c:v>
                </c:pt>
                <c:pt idx="10">
                  <c:v>883.2</c:v>
                </c:pt>
                <c:pt idx="11">
                  <c:v>883.8</c:v>
                </c:pt>
                <c:pt idx="12">
                  <c:v>888.4</c:v>
                </c:pt>
                <c:pt idx="13">
                  <c:v>888.6</c:v>
                </c:pt>
                <c:pt idx="14">
                  <c:v>876.4</c:v>
                </c:pt>
                <c:pt idx="15">
                  <c:v>875.6</c:v>
                </c:pt>
                <c:pt idx="16">
                  <c:v>859.1</c:v>
                </c:pt>
                <c:pt idx="17">
                  <c:v>848.2</c:v>
                </c:pt>
                <c:pt idx="18">
                  <c:v>859.3</c:v>
                </c:pt>
                <c:pt idx="19">
                  <c:v>863.9</c:v>
                </c:pt>
                <c:pt idx="20">
                  <c:v>859.1</c:v>
                </c:pt>
                <c:pt idx="21">
                  <c:v>858.2</c:v>
                </c:pt>
                <c:pt idx="22">
                  <c:v>864.8</c:v>
                </c:pt>
                <c:pt idx="23">
                  <c:v>873.9</c:v>
                </c:pt>
                <c:pt idx="24">
                  <c:v>870.2</c:v>
                </c:pt>
                <c:pt idx="25">
                  <c:v>875.2</c:v>
                </c:pt>
                <c:pt idx="26">
                  <c:v>887.9</c:v>
                </c:pt>
                <c:pt idx="27">
                  <c:v>890.6</c:v>
                </c:pt>
                <c:pt idx="28">
                  <c:v>893.4</c:v>
                </c:pt>
                <c:pt idx="29">
                  <c:v>892.1</c:v>
                </c:pt>
                <c:pt idx="30">
                  <c:v>900.4</c:v>
                </c:pt>
                <c:pt idx="31">
                  <c:v>922.8</c:v>
                </c:pt>
                <c:pt idx="32">
                  <c:v>929.8</c:v>
                </c:pt>
                <c:pt idx="33">
                  <c:v>935.1</c:v>
                </c:pt>
                <c:pt idx="34">
                  <c:v>938.2</c:v>
                </c:pt>
                <c:pt idx="35">
                  <c:v>939.3</c:v>
                </c:pt>
                <c:pt idx="36">
                  <c:v>909</c:v>
                </c:pt>
                <c:pt idx="37">
                  <c:v>902.4</c:v>
                </c:pt>
                <c:pt idx="38">
                  <c:v>891.6</c:v>
                </c:pt>
                <c:pt idx="39">
                  <c:v>891.9</c:v>
                </c:pt>
                <c:pt idx="40">
                  <c:v>876.6</c:v>
                </c:pt>
                <c:pt idx="41">
                  <c:v>876.7</c:v>
                </c:pt>
                <c:pt idx="42">
                  <c:v>882.6</c:v>
                </c:pt>
                <c:pt idx="43">
                  <c:v>887.7</c:v>
                </c:pt>
                <c:pt idx="44">
                  <c:v>859.6</c:v>
                </c:pt>
                <c:pt idx="45">
                  <c:v>862.7</c:v>
                </c:pt>
                <c:pt idx="46">
                  <c:v>863.3</c:v>
                </c:pt>
                <c:pt idx="47">
                  <c:v>850.7</c:v>
                </c:pt>
                <c:pt idx="48">
                  <c:v>855.4</c:v>
                </c:pt>
                <c:pt idx="49">
                  <c:v>859.7</c:v>
                </c:pt>
                <c:pt idx="50">
                  <c:v>857.4</c:v>
                </c:pt>
                <c:pt idx="51">
                  <c:v>852.5</c:v>
                </c:pt>
                <c:pt idx="52">
                  <c:v>859.1</c:v>
                </c:pt>
                <c:pt idx="53">
                  <c:v>858</c:v>
                </c:pt>
                <c:pt idx="54">
                  <c:v>868.3</c:v>
                </c:pt>
                <c:pt idx="55">
                  <c:v>875.3</c:v>
                </c:pt>
                <c:pt idx="56">
                  <c:v>870.9</c:v>
                </c:pt>
                <c:pt idx="57">
                  <c:v>861.1</c:v>
                </c:pt>
                <c:pt idx="58">
                  <c:v>853.6</c:v>
                </c:pt>
                <c:pt idx="59">
                  <c:v>858.7</c:v>
                </c:pt>
                <c:pt idx="60">
                  <c:v>852.4</c:v>
                </c:pt>
              </c:numCache>
            </c:numRef>
          </c:val>
        </c:ser>
        <c:ser>
          <c:idx val="1"/>
          <c:order val="1"/>
          <c:tx>
            <c:strRef>
              <c:f>'Zamestnanci podľa typu PČ'!$A$25</c:f>
              <c:strCache>
                <c:ptCount val="1"/>
                <c:pt idx="0">
                  <c:v>Práca dočasná, príležitostná, sezónna</c:v>
                </c:pt>
              </c:strCache>
            </c:strRef>
          </c:tx>
          <c:invertIfNegative val="0"/>
          <c:cat>
            <c:strRef>
              <c:f>'Zamestnanci podľa typu PČ'!$Z$1:$CH$1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'Zamestnanci podľa typu PČ'!$Z$25:$CH$25</c:f>
              <c:numCache>
                <c:formatCode>General</c:formatCode>
                <c:ptCount val="61"/>
                <c:pt idx="0">
                  <c:v>34.1</c:v>
                </c:pt>
                <c:pt idx="1">
                  <c:v>39</c:v>
                </c:pt>
                <c:pt idx="2">
                  <c:v>42.8</c:v>
                </c:pt>
                <c:pt idx="3">
                  <c:v>50.2</c:v>
                </c:pt>
                <c:pt idx="4">
                  <c:v>32.799999999999997</c:v>
                </c:pt>
                <c:pt idx="5">
                  <c:v>45.4</c:v>
                </c:pt>
                <c:pt idx="6">
                  <c:v>48.2</c:v>
                </c:pt>
                <c:pt idx="7">
                  <c:v>47.8</c:v>
                </c:pt>
                <c:pt idx="8">
                  <c:v>40.200000000000003</c:v>
                </c:pt>
                <c:pt idx="9">
                  <c:v>40.6</c:v>
                </c:pt>
                <c:pt idx="10">
                  <c:v>44.3</c:v>
                </c:pt>
                <c:pt idx="11">
                  <c:v>41.3</c:v>
                </c:pt>
                <c:pt idx="12">
                  <c:v>35</c:v>
                </c:pt>
                <c:pt idx="13">
                  <c:v>41.9</c:v>
                </c:pt>
                <c:pt idx="14">
                  <c:v>47.3</c:v>
                </c:pt>
                <c:pt idx="15">
                  <c:v>44.8</c:v>
                </c:pt>
                <c:pt idx="16">
                  <c:v>40.700000000000003</c:v>
                </c:pt>
                <c:pt idx="17">
                  <c:v>45.5</c:v>
                </c:pt>
                <c:pt idx="18">
                  <c:v>49.8</c:v>
                </c:pt>
                <c:pt idx="19">
                  <c:v>46.7</c:v>
                </c:pt>
                <c:pt idx="20">
                  <c:v>43.8</c:v>
                </c:pt>
                <c:pt idx="21">
                  <c:v>43.9</c:v>
                </c:pt>
                <c:pt idx="22">
                  <c:v>46.2</c:v>
                </c:pt>
                <c:pt idx="23">
                  <c:v>44.1</c:v>
                </c:pt>
                <c:pt idx="24">
                  <c:v>41.5</c:v>
                </c:pt>
                <c:pt idx="25">
                  <c:v>47.8</c:v>
                </c:pt>
                <c:pt idx="26">
                  <c:v>51.4</c:v>
                </c:pt>
                <c:pt idx="27">
                  <c:v>52.2</c:v>
                </c:pt>
                <c:pt idx="28">
                  <c:v>53.6</c:v>
                </c:pt>
                <c:pt idx="29">
                  <c:v>54</c:v>
                </c:pt>
                <c:pt idx="30">
                  <c:v>47.6</c:v>
                </c:pt>
                <c:pt idx="31">
                  <c:v>45</c:v>
                </c:pt>
                <c:pt idx="32">
                  <c:v>41.9</c:v>
                </c:pt>
                <c:pt idx="33">
                  <c:v>42.8</c:v>
                </c:pt>
                <c:pt idx="34">
                  <c:v>55.8</c:v>
                </c:pt>
                <c:pt idx="35">
                  <c:v>47.8</c:v>
                </c:pt>
                <c:pt idx="36">
                  <c:v>36.4</c:v>
                </c:pt>
                <c:pt idx="37">
                  <c:v>34.799999999999997</c:v>
                </c:pt>
                <c:pt idx="38">
                  <c:v>43.2</c:v>
                </c:pt>
                <c:pt idx="39">
                  <c:v>40.9</c:v>
                </c:pt>
                <c:pt idx="40">
                  <c:v>42.8</c:v>
                </c:pt>
                <c:pt idx="41">
                  <c:v>54.6</c:v>
                </c:pt>
                <c:pt idx="42">
                  <c:v>64.7</c:v>
                </c:pt>
                <c:pt idx="43">
                  <c:v>58.6</c:v>
                </c:pt>
                <c:pt idx="44">
                  <c:v>60.9</c:v>
                </c:pt>
                <c:pt idx="45">
                  <c:v>67.400000000000006</c:v>
                </c:pt>
                <c:pt idx="46">
                  <c:v>63.9</c:v>
                </c:pt>
                <c:pt idx="47">
                  <c:v>65.099999999999994</c:v>
                </c:pt>
                <c:pt idx="48">
                  <c:v>68.3</c:v>
                </c:pt>
                <c:pt idx="49">
                  <c:v>70.2</c:v>
                </c:pt>
                <c:pt idx="50">
                  <c:v>66.599999999999994</c:v>
                </c:pt>
                <c:pt idx="51">
                  <c:v>64.400000000000006</c:v>
                </c:pt>
                <c:pt idx="52">
                  <c:v>67.7</c:v>
                </c:pt>
                <c:pt idx="53">
                  <c:v>69.2</c:v>
                </c:pt>
                <c:pt idx="54">
                  <c:v>68.599999999999994</c:v>
                </c:pt>
                <c:pt idx="55">
                  <c:v>65.400000000000006</c:v>
                </c:pt>
                <c:pt idx="56">
                  <c:v>70.900000000000006</c:v>
                </c:pt>
                <c:pt idx="57">
                  <c:v>77.5</c:v>
                </c:pt>
                <c:pt idx="58">
                  <c:v>84.7</c:v>
                </c:pt>
                <c:pt idx="59">
                  <c:v>92.4</c:v>
                </c:pt>
                <c:pt idx="60">
                  <c:v>102.5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18191616"/>
        <c:axId val="118193152"/>
      </c:barChart>
      <c:catAx>
        <c:axId val="118191616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en-US"/>
          </a:p>
        </c:txPr>
        <c:crossAx val="118193152"/>
        <c:crosses val="autoZero"/>
        <c:auto val="1"/>
        <c:lblAlgn val="ctr"/>
        <c:lblOffset val="100"/>
        <c:noMultiLvlLbl val="0"/>
      </c:catAx>
      <c:valAx>
        <c:axId val="118193152"/>
        <c:scaling>
          <c:orientation val="minMax"/>
          <c:min val="600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en-US"/>
          </a:p>
        </c:txPr>
        <c:crossAx val="118191616"/>
        <c:crosses val="autoZero"/>
        <c:crossBetween val="between"/>
      </c:valAx>
    </c:plotArea>
    <c:legend>
      <c:legendPos val="b"/>
      <c:overlay val="0"/>
      <c:txPr>
        <a:bodyPr/>
        <a:lstStyle/>
        <a:p>
          <a:pPr>
            <a:defRPr sz="800"/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2"/>
          <c:order val="0"/>
          <c:tx>
            <c:strRef>
              <c:f>'Zamestnanci podľa typu PČ'!$A$4</c:f>
              <c:strCache>
                <c:ptCount val="1"/>
                <c:pt idx="0">
                  <c:v>Zamestnanci na plný prac. čas</c:v>
                </c:pt>
              </c:strCache>
            </c:strRef>
          </c:tx>
          <c:spPr>
            <a:solidFill>
              <a:srgbClr val="C00000"/>
            </a:solidFill>
          </c:spPr>
          <c:invertIfNegative val="0"/>
          <c:cat>
            <c:strRef>
              <c:f>'Zamestnanci podľa typu PČ'!$Z$1:$CH$1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'Zamestnanci podľa typu PČ'!$Z$4:$CH$4</c:f>
              <c:numCache>
                <c:formatCode>#,##0.00</c:formatCode>
                <c:ptCount val="61"/>
                <c:pt idx="0">
                  <c:v>1887.6</c:v>
                </c:pt>
                <c:pt idx="1">
                  <c:v>1880</c:v>
                </c:pt>
                <c:pt idx="2">
                  <c:v>1893.7</c:v>
                </c:pt>
                <c:pt idx="3">
                  <c:v>1903.1</c:v>
                </c:pt>
                <c:pt idx="4">
                  <c:v>1875.6</c:v>
                </c:pt>
                <c:pt idx="5">
                  <c:v>1887.7</c:v>
                </c:pt>
                <c:pt idx="6">
                  <c:v>1910.3</c:v>
                </c:pt>
                <c:pt idx="7">
                  <c:v>1916.6</c:v>
                </c:pt>
                <c:pt idx="8">
                  <c:v>1888.3</c:v>
                </c:pt>
                <c:pt idx="9">
                  <c:v>1896</c:v>
                </c:pt>
                <c:pt idx="10">
                  <c:v>1914.8</c:v>
                </c:pt>
                <c:pt idx="11">
                  <c:v>1913.3</c:v>
                </c:pt>
                <c:pt idx="12">
                  <c:v>1881</c:v>
                </c:pt>
                <c:pt idx="13">
                  <c:v>1909.9</c:v>
                </c:pt>
                <c:pt idx="14">
                  <c:v>1915.7</c:v>
                </c:pt>
                <c:pt idx="15">
                  <c:v>1889</c:v>
                </c:pt>
                <c:pt idx="16">
                  <c:v>1838.2</c:v>
                </c:pt>
                <c:pt idx="17">
                  <c:v>1833.5</c:v>
                </c:pt>
                <c:pt idx="18">
                  <c:v>1867.6</c:v>
                </c:pt>
                <c:pt idx="19">
                  <c:v>1863.3</c:v>
                </c:pt>
                <c:pt idx="20">
                  <c:v>1839.9</c:v>
                </c:pt>
                <c:pt idx="21">
                  <c:v>1858.6</c:v>
                </c:pt>
                <c:pt idx="22">
                  <c:v>1897</c:v>
                </c:pt>
                <c:pt idx="23">
                  <c:v>1913.3</c:v>
                </c:pt>
                <c:pt idx="24">
                  <c:v>1907.2</c:v>
                </c:pt>
                <c:pt idx="25">
                  <c:v>1937.2</c:v>
                </c:pt>
                <c:pt idx="26">
                  <c:v>1963.5</c:v>
                </c:pt>
                <c:pt idx="27">
                  <c:v>1970.4</c:v>
                </c:pt>
                <c:pt idx="28">
                  <c:v>1962.2</c:v>
                </c:pt>
                <c:pt idx="29">
                  <c:v>1973.1</c:v>
                </c:pt>
                <c:pt idx="30">
                  <c:v>1991.9</c:v>
                </c:pt>
                <c:pt idx="31">
                  <c:v>2024.9</c:v>
                </c:pt>
                <c:pt idx="32">
                  <c:v>2014.5</c:v>
                </c:pt>
                <c:pt idx="33">
                  <c:v>2027.1</c:v>
                </c:pt>
                <c:pt idx="34">
                  <c:v>2046.8</c:v>
                </c:pt>
                <c:pt idx="35">
                  <c:v>2050.4</c:v>
                </c:pt>
                <c:pt idx="36">
                  <c:v>1949.5</c:v>
                </c:pt>
                <c:pt idx="37">
                  <c:v>1914.2</c:v>
                </c:pt>
                <c:pt idx="38">
                  <c:v>1908.5</c:v>
                </c:pt>
                <c:pt idx="39">
                  <c:v>1889.5</c:v>
                </c:pt>
                <c:pt idx="40">
                  <c:v>1833.6</c:v>
                </c:pt>
                <c:pt idx="41">
                  <c:v>1853.1</c:v>
                </c:pt>
                <c:pt idx="42">
                  <c:v>1875.6</c:v>
                </c:pt>
                <c:pt idx="43">
                  <c:v>1882</c:v>
                </c:pt>
                <c:pt idx="44">
                  <c:v>1835.3</c:v>
                </c:pt>
                <c:pt idx="45">
                  <c:v>1861.7</c:v>
                </c:pt>
                <c:pt idx="46">
                  <c:v>1865</c:v>
                </c:pt>
                <c:pt idx="47">
                  <c:v>1856.2</c:v>
                </c:pt>
                <c:pt idx="48">
                  <c:v>1873.1</c:v>
                </c:pt>
                <c:pt idx="49">
                  <c:v>1882</c:v>
                </c:pt>
                <c:pt idx="50">
                  <c:v>1892.3</c:v>
                </c:pt>
                <c:pt idx="51">
                  <c:v>1873</c:v>
                </c:pt>
                <c:pt idx="52">
                  <c:v>1863.2</c:v>
                </c:pt>
                <c:pt idx="53">
                  <c:v>1860.8</c:v>
                </c:pt>
                <c:pt idx="54">
                  <c:v>1883.3</c:v>
                </c:pt>
                <c:pt idx="55">
                  <c:v>1861.4</c:v>
                </c:pt>
                <c:pt idx="56">
                  <c:v>1862.3</c:v>
                </c:pt>
                <c:pt idx="57">
                  <c:v>1881.9</c:v>
                </c:pt>
                <c:pt idx="58">
                  <c:v>1890.1</c:v>
                </c:pt>
                <c:pt idx="59">
                  <c:v>1907.7</c:v>
                </c:pt>
                <c:pt idx="60">
                  <c:v>1887.2</c:v>
                </c:pt>
              </c:numCache>
            </c:numRef>
          </c:val>
        </c:ser>
        <c:ser>
          <c:idx val="3"/>
          <c:order val="1"/>
          <c:tx>
            <c:strRef>
              <c:f>'Zamestnanci podľa typu PČ'!$A$5</c:f>
              <c:strCache>
                <c:ptCount val="1"/>
                <c:pt idx="0">
                  <c:v>Zamestnanci na kratší prac. čas</c:v>
                </c:pt>
              </c:strCache>
            </c:strRef>
          </c:tx>
          <c:invertIfNegative val="0"/>
          <c:cat>
            <c:strRef>
              <c:f>'Zamestnanci podľa typu PČ'!$Z$1:$CH$1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'Zamestnanci podľa typu PČ'!$Z$5:$CH$5</c:f>
              <c:numCache>
                <c:formatCode>General</c:formatCode>
                <c:ptCount val="61"/>
                <c:pt idx="0">
                  <c:v>40.799999999999997</c:v>
                </c:pt>
                <c:pt idx="1">
                  <c:v>36.200000000000003</c:v>
                </c:pt>
                <c:pt idx="2">
                  <c:v>37.799999999999997</c:v>
                </c:pt>
                <c:pt idx="3">
                  <c:v>44.6</c:v>
                </c:pt>
                <c:pt idx="4">
                  <c:v>46.9</c:v>
                </c:pt>
                <c:pt idx="5">
                  <c:v>48</c:v>
                </c:pt>
                <c:pt idx="6">
                  <c:v>45.3</c:v>
                </c:pt>
                <c:pt idx="7">
                  <c:v>42.8</c:v>
                </c:pt>
                <c:pt idx="8">
                  <c:v>38.4</c:v>
                </c:pt>
                <c:pt idx="9">
                  <c:v>37.5</c:v>
                </c:pt>
                <c:pt idx="10">
                  <c:v>35.9</c:v>
                </c:pt>
                <c:pt idx="11">
                  <c:v>39</c:v>
                </c:pt>
                <c:pt idx="12">
                  <c:v>44.7</c:v>
                </c:pt>
                <c:pt idx="13">
                  <c:v>48.6</c:v>
                </c:pt>
                <c:pt idx="14">
                  <c:v>48.8</c:v>
                </c:pt>
                <c:pt idx="15">
                  <c:v>52.6</c:v>
                </c:pt>
                <c:pt idx="16">
                  <c:v>52.7</c:v>
                </c:pt>
                <c:pt idx="17">
                  <c:v>53.2</c:v>
                </c:pt>
                <c:pt idx="18">
                  <c:v>55.2</c:v>
                </c:pt>
                <c:pt idx="19">
                  <c:v>52.9</c:v>
                </c:pt>
                <c:pt idx="20">
                  <c:v>49.4</c:v>
                </c:pt>
                <c:pt idx="21">
                  <c:v>49.1</c:v>
                </c:pt>
                <c:pt idx="22">
                  <c:v>53.7</c:v>
                </c:pt>
                <c:pt idx="23">
                  <c:v>55</c:v>
                </c:pt>
                <c:pt idx="24">
                  <c:v>54</c:v>
                </c:pt>
                <c:pt idx="25">
                  <c:v>58.7</c:v>
                </c:pt>
                <c:pt idx="26">
                  <c:v>60.7</c:v>
                </c:pt>
                <c:pt idx="27">
                  <c:v>58.8</c:v>
                </c:pt>
                <c:pt idx="28">
                  <c:v>59.2</c:v>
                </c:pt>
                <c:pt idx="29">
                  <c:v>57.8</c:v>
                </c:pt>
                <c:pt idx="30">
                  <c:v>54.1</c:v>
                </c:pt>
                <c:pt idx="31">
                  <c:v>51.2</c:v>
                </c:pt>
                <c:pt idx="32">
                  <c:v>48.8</c:v>
                </c:pt>
                <c:pt idx="33">
                  <c:v>48.2</c:v>
                </c:pt>
                <c:pt idx="34">
                  <c:v>73.7</c:v>
                </c:pt>
                <c:pt idx="35">
                  <c:v>67.2</c:v>
                </c:pt>
                <c:pt idx="36">
                  <c:v>74.900000000000006</c:v>
                </c:pt>
                <c:pt idx="37">
                  <c:v>89.2</c:v>
                </c:pt>
                <c:pt idx="38">
                  <c:v>79.599999999999994</c:v>
                </c:pt>
                <c:pt idx="39">
                  <c:v>73.3</c:v>
                </c:pt>
                <c:pt idx="40">
                  <c:v>73.2</c:v>
                </c:pt>
                <c:pt idx="41">
                  <c:v>90.6</c:v>
                </c:pt>
                <c:pt idx="42">
                  <c:v>94.1</c:v>
                </c:pt>
                <c:pt idx="43">
                  <c:v>86</c:v>
                </c:pt>
                <c:pt idx="44">
                  <c:v>90.1</c:v>
                </c:pt>
                <c:pt idx="45">
                  <c:v>93.8</c:v>
                </c:pt>
                <c:pt idx="46">
                  <c:v>92.8</c:v>
                </c:pt>
                <c:pt idx="47">
                  <c:v>89.8</c:v>
                </c:pt>
                <c:pt idx="48">
                  <c:v>90.9</c:v>
                </c:pt>
                <c:pt idx="49">
                  <c:v>89.5</c:v>
                </c:pt>
                <c:pt idx="50">
                  <c:v>85.4</c:v>
                </c:pt>
                <c:pt idx="51">
                  <c:v>88.6</c:v>
                </c:pt>
                <c:pt idx="52">
                  <c:v>100.3</c:v>
                </c:pt>
                <c:pt idx="53">
                  <c:v>105.5</c:v>
                </c:pt>
                <c:pt idx="54">
                  <c:v>95</c:v>
                </c:pt>
                <c:pt idx="55">
                  <c:v>98.4</c:v>
                </c:pt>
                <c:pt idx="56">
                  <c:v>105.7</c:v>
                </c:pt>
                <c:pt idx="57">
                  <c:v>109.9</c:v>
                </c:pt>
                <c:pt idx="58">
                  <c:v>118.4</c:v>
                </c:pt>
                <c:pt idx="59">
                  <c:v>120.8</c:v>
                </c:pt>
                <c:pt idx="60">
                  <c:v>141.19999999999999</c:v>
                </c:pt>
              </c:numCache>
            </c:numRef>
          </c:val>
        </c:ser>
        <c:ser>
          <c:idx val="4"/>
          <c:order val="2"/>
          <c:tx>
            <c:strRef>
              <c:f>'Zamestnanci podľa typu PČ'!$A$6</c:f>
              <c:strCache>
                <c:ptCount val="1"/>
                <c:pt idx="0">
                  <c:v>Podzamestnaní (do r. 2010)</c:v>
                </c:pt>
              </c:strCache>
            </c:strRef>
          </c:tx>
          <c:invertIfNegative val="0"/>
          <c:cat>
            <c:strRef>
              <c:f>'Zamestnanci podľa typu PČ'!$Z$1:$CH$1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'Zamestnanci podľa typu PČ'!$Z$6:$CH$6</c:f>
              <c:numCache>
                <c:formatCode>General</c:formatCode>
                <c:ptCount val="61"/>
                <c:pt idx="0">
                  <c:v>13</c:v>
                </c:pt>
                <c:pt idx="1">
                  <c:v>11</c:v>
                </c:pt>
                <c:pt idx="2">
                  <c:v>12.7</c:v>
                </c:pt>
                <c:pt idx="3">
                  <c:v>17</c:v>
                </c:pt>
                <c:pt idx="4">
                  <c:v>16.3</c:v>
                </c:pt>
                <c:pt idx="5">
                  <c:v>17.600000000000001</c:v>
                </c:pt>
                <c:pt idx="6">
                  <c:v>17.100000000000001</c:v>
                </c:pt>
                <c:pt idx="7">
                  <c:v>17.2</c:v>
                </c:pt>
                <c:pt idx="8">
                  <c:v>14.3</c:v>
                </c:pt>
                <c:pt idx="9">
                  <c:v>13.6</c:v>
                </c:pt>
                <c:pt idx="10">
                  <c:v>11.3</c:v>
                </c:pt>
                <c:pt idx="11">
                  <c:v>13.8</c:v>
                </c:pt>
                <c:pt idx="12">
                  <c:v>16.2</c:v>
                </c:pt>
                <c:pt idx="13">
                  <c:v>15.4</c:v>
                </c:pt>
                <c:pt idx="14">
                  <c:v>14.7</c:v>
                </c:pt>
                <c:pt idx="15">
                  <c:v>16.600000000000001</c:v>
                </c:pt>
                <c:pt idx="16">
                  <c:v>17</c:v>
                </c:pt>
                <c:pt idx="17">
                  <c:v>17.5</c:v>
                </c:pt>
                <c:pt idx="18">
                  <c:v>18.100000000000001</c:v>
                </c:pt>
                <c:pt idx="19">
                  <c:v>19.100000000000001</c:v>
                </c:pt>
                <c:pt idx="20">
                  <c:v>19.600000000000001</c:v>
                </c:pt>
                <c:pt idx="21">
                  <c:v>20.9</c:v>
                </c:pt>
                <c:pt idx="22">
                  <c:v>23.7</c:v>
                </c:pt>
                <c:pt idx="23">
                  <c:v>25.7</c:v>
                </c:pt>
                <c:pt idx="24">
                  <c:v>22.5</c:v>
                </c:pt>
                <c:pt idx="25">
                  <c:v>23.9</c:v>
                </c:pt>
                <c:pt idx="26">
                  <c:v>24</c:v>
                </c:pt>
                <c:pt idx="27">
                  <c:v>20.399999999999999</c:v>
                </c:pt>
                <c:pt idx="28">
                  <c:v>20.8</c:v>
                </c:pt>
                <c:pt idx="29">
                  <c:v>20.7</c:v>
                </c:pt>
                <c:pt idx="30">
                  <c:v>19.100000000000001</c:v>
                </c:pt>
                <c:pt idx="31">
                  <c:v>18.3</c:v>
                </c:pt>
                <c:pt idx="32">
                  <c:v>17.100000000000001</c:v>
                </c:pt>
                <c:pt idx="33">
                  <c:v>18.5</c:v>
                </c:pt>
                <c:pt idx="34">
                  <c:v>46.2</c:v>
                </c:pt>
                <c:pt idx="35">
                  <c:v>40.200000000000003</c:v>
                </c:pt>
                <c:pt idx="36">
                  <c:v>48.7</c:v>
                </c:pt>
                <c:pt idx="37">
                  <c:v>61.2</c:v>
                </c:pt>
                <c:pt idx="38">
                  <c:v>50.8</c:v>
                </c:pt>
                <c:pt idx="39">
                  <c:v>45.6</c:v>
                </c:pt>
                <c:pt idx="40">
                  <c:v>45.8</c:v>
                </c:pt>
                <c:pt idx="41">
                  <c:v>63.3</c:v>
                </c:pt>
                <c:pt idx="42">
                  <c:v>63.3</c:v>
                </c:pt>
                <c:pt idx="43">
                  <c:v>52.9</c:v>
                </c:pt>
              </c:numCache>
            </c:numRef>
          </c:val>
        </c:ser>
        <c:ser>
          <c:idx val="5"/>
          <c:order val="3"/>
          <c:tx>
            <c:strRef>
              <c:f>'Zamestnanci podľa typu PČ'!$A$7</c:f>
              <c:strCache>
                <c:ptCount val="1"/>
                <c:pt idx="0">
                  <c:v>Podzamestnaní (od r. 2011)</c:v>
                </c:pt>
              </c:strCache>
            </c:strRef>
          </c:tx>
          <c:invertIfNegative val="0"/>
          <c:cat>
            <c:strRef>
              <c:f>'Zamestnanci podľa typu PČ'!$Z$1:$CH$1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'Zamestnanci podľa typu PČ'!$Z$7:$CH$7</c:f>
              <c:numCache>
                <c:formatCode>General</c:formatCode>
                <c:ptCount val="61"/>
                <c:pt idx="44">
                  <c:v>33.299999999999997</c:v>
                </c:pt>
                <c:pt idx="45">
                  <c:v>37.5</c:v>
                </c:pt>
                <c:pt idx="46">
                  <c:v>37.299999999999997</c:v>
                </c:pt>
                <c:pt idx="47">
                  <c:v>34.799999999999997</c:v>
                </c:pt>
                <c:pt idx="48">
                  <c:v>35.9</c:v>
                </c:pt>
                <c:pt idx="49">
                  <c:v>35.9</c:v>
                </c:pt>
                <c:pt idx="50">
                  <c:v>34.5</c:v>
                </c:pt>
                <c:pt idx="51">
                  <c:v>37.799999999999997</c:v>
                </c:pt>
                <c:pt idx="52">
                  <c:v>43.6</c:v>
                </c:pt>
                <c:pt idx="53">
                  <c:v>47.2</c:v>
                </c:pt>
                <c:pt idx="54">
                  <c:v>38.9</c:v>
                </c:pt>
                <c:pt idx="55">
                  <c:v>37</c:v>
                </c:pt>
                <c:pt idx="56">
                  <c:v>37.6</c:v>
                </c:pt>
                <c:pt idx="57">
                  <c:v>43</c:v>
                </c:pt>
                <c:pt idx="58">
                  <c:v>50.9</c:v>
                </c:pt>
                <c:pt idx="59">
                  <c:v>52.6</c:v>
                </c:pt>
                <c:pt idx="60">
                  <c:v>62.2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18215808"/>
        <c:axId val="118217344"/>
      </c:barChart>
      <c:catAx>
        <c:axId val="118215808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en-US"/>
          </a:p>
        </c:txPr>
        <c:crossAx val="118217344"/>
        <c:crosses val="autoZero"/>
        <c:auto val="1"/>
        <c:lblAlgn val="ctr"/>
        <c:lblOffset val="100"/>
        <c:noMultiLvlLbl val="0"/>
      </c:catAx>
      <c:valAx>
        <c:axId val="118217344"/>
        <c:scaling>
          <c:orientation val="minMax"/>
          <c:min val="1500"/>
        </c:scaling>
        <c:delete val="0"/>
        <c:axPos val="l"/>
        <c:majorGridlines/>
        <c:numFmt formatCode="#,##0.00" sourceLinked="1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en-US"/>
          </a:p>
        </c:txPr>
        <c:crossAx val="118215808"/>
        <c:crosses val="autoZero"/>
        <c:crossBetween val="between"/>
      </c:valAx>
    </c:plotArea>
    <c:legend>
      <c:legendPos val="b"/>
      <c:overlay val="0"/>
      <c:txPr>
        <a:bodyPr/>
        <a:lstStyle/>
        <a:p>
          <a:pPr>
            <a:defRPr sz="800"/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2"/>
          <c:order val="0"/>
          <c:tx>
            <c:strRef>
              <c:f>'Zamestnanci podľa typu PČ'!$A$12</c:f>
              <c:strCache>
                <c:ptCount val="1"/>
                <c:pt idx="0">
                  <c:v>Zamestnanci na plný prac. čas</c:v>
                </c:pt>
              </c:strCache>
            </c:strRef>
          </c:tx>
          <c:spPr>
            <a:solidFill>
              <a:srgbClr val="C00000"/>
            </a:solidFill>
          </c:spPr>
          <c:invertIfNegative val="0"/>
          <c:cat>
            <c:strRef>
              <c:f>'Zamestnanci podľa typu PČ'!$Z$1:$CH$1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'Zamestnanci podľa typu PČ'!$Z$12:$CH$12</c:f>
              <c:numCache>
                <c:formatCode>General</c:formatCode>
                <c:ptCount val="61"/>
                <c:pt idx="0">
                  <c:v>992.8</c:v>
                </c:pt>
                <c:pt idx="1">
                  <c:v>992.3</c:v>
                </c:pt>
                <c:pt idx="2" formatCode="#,##0.00">
                  <c:v>1011.3</c:v>
                </c:pt>
                <c:pt idx="3" formatCode="#,##0.00">
                  <c:v>1015.1</c:v>
                </c:pt>
                <c:pt idx="4">
                  <c:v>983.8</c:v>
                </c:pt>
                <c:pt idx="5">
                  <c:v>995.7</c:v>
                </c:pt>
                <c:pt idx="6" formatCode="#,##0.00">
                  <c:v>1011.9</c:v>
                </c:pt>
                <c:pt idx="7" formatCode="#,##0.00">
                  <c:v>1018.8</c:v>
                </c:pt>
                <c:pt idx="8" formatCode="#,##0.00">
                  <c:v>1001.7</c:v>
                </c:pt>
                <c:pt idx="9" formatCode="#,##0.00">
                  <c:v>1000.5</c:v>
                </c:pt>
                <c:pt idx="10" formatCode="#,##0.00">
                  <c:v>1011.4</c:v>
                </c:pt>
                <c:pt idx="11" formatCode="#,##0.00">
                  <c:v>1015.7</c:v>
                </c:pt>
                <c:pt idx="12">
                  <c:v>991.5</c:v>
                </c:pt>
                <c:pt idx="13" formatCode="#,##0.00">
                  <c:v>1013.9</c:v>
                </c:pt>
                <c:pt idx="14" formatCode="#,##0.00">
                  <c:v>1025.8</c:v>
                </c:pt>
                <c:pt idx="15" formatCode="#,##0.00">
                  <c:v>1006.5</c:v>
                </c:pt>
                <c:pt idx="16">
                  <c:v>974.4</c:v>
                </c:pt>
                <c:pt idx="17">
                  <c:v>977.5</c:v>
                </c:pt>
                <c:pt idx="18">
                  <c:v>998.3</c:v>
                </c:pt>
                <c:pt idx="19">
                  <c:v>991.7</c:v>
                </c:pt>
                <c:pt idx="20">
                  <c:v>973.3</c:v>
                </c:pt>
                <c:pt idx="21">
                  <c:v>992.1</c:v>
                </c:pt>
                <c:pt idx="22" formatCode="#,##0.00">
                  <c:v>1022.5</c:v>
                </c:pt>
                <c:pt idx="23" formatCode="#,##0.00">
                  <c:v>1035.4000000000001</c:v>
                </c:pt>
                <c:pt idx="24" formatCode="#,##0.00">
                  <c:v>1034.8</c:v>
                </c:pt>
                <c:pt idx="25" formatCode="#,##0.00">
                  <c:v>1058.9000000000001</c:v>
                </c:pt>
                <c:pt idx="26" formatCode="#,##0.00">
                  <c:v>1069.4000000000001</c:v>
                </c:pt>
                <c:pt idx="27" formatCode="#,##0.00">
                  <c:v>1072.8</c:v>
                </c:pt>
                <c:pt idx="28" formatCode="#,##0.00">
                  <c:v>1060.7</c:v>
                </c:pt>
                <c:pt idx="29" formatCode="#,##0.00">
                  <c:v>1071.5999999999999</c:v>
                </c:pt>
                <c:pt idx="30" formatCode="#,##0.00">
                  <c:v>1084.3</c:v>
                </c:pt>
                <c:pt idx="31" formatCode="#,##0.00">
                  <c:v>1096.9000000000001</c:v>
                </c:pt>
                <c:pt idx="32" formatCode="#,##0.00">
                  <c:v>1081.2</c:v>
                </c:pt>
                <c:pt idx="33" formatCode="#,##0.00">
                  <c:v>1086.2</c:v>
                </c:pt>
                <c:pt idx="34" formatCode="#,##0.00">
                  <c:v>1100</c:v>
                </c:pt>
                <c:pt idx="35" formatCode="#,##0.00">
                  <c:v>1107.2</c:v>
                </c:pt>
                <c:pt idx="36" formatCode="#,##0.00">
                  <c:v>1047.8</c:v>
                </c:pt>
                <c:pt idx="37" formatCode="#,##0.00">
                  <c:v>1025</c:v>
                </c:pt>
                <c:pt idx="38" formatCode="#,##0.00">
                  <c:v>1020.7</c:v>
                </c:pt>
                <c:pt idx="39" formatCode="#,##0.00">
                  <c:v>1000.9</c:v>
                </c:pt>
                <c:pt idx="40">
                  <c:v>959</c:v>
                </c:pt>
                <c:pt idx="41">
                  <c:v>977.3</c:v>
                </c:pt>
                <c:pt idx="42">
                  <c:v>986.1</c:v>
                </c:pt>
                <c:pt idx="43">
                  <c:v>990</c:v>
                </c:pt>
                <c:pt idx="44">
                  <c:v>971.8</c:v>
                </c:pt>
                <c:pt idx="45">
                  <c:v>991.1</c:v>
                </c:pt>
                <c:pt idx="46">
                  <c:v>995.3</c:v>
                </c:pt>
                <c:pt idx="47">
                  <c:v>997.1</c:v>
                </c:pt>
                <c:pt idx="48" formatCode="#,##0.00">
                  <c:v>1007.2</c:v>
                </c:pt>
                <c:pt idx="49" formatCode="#,##0.00">
                  <c:v>1006.4</c:v>
                </c:pt>
                <c:pt idx="50" formatCode="#,##0.00">
                  <c:v>1020.9</c:v>
                </c:pt>
                <c:pt idx="51" formatCode="#,##0.00">
                  <c:v>1010.3</c:v>
                </c:pt>
                <c:pt idx="52">
                  <c:v>998.5</c:v>
                </c:pt>
                <c:pt idx="53">
                  <c:v>996.6</c:v>
                </c:pt>
                <c:pt idx="54" formatCode="#,##0.00">
                  <c:v>1005</c:v>
                </c:pt>
                <c:pt idx="55">
                  <c:v>979.9</c:v>
                </c:pt>
                <c:pt idx="56">
                  <c:v>984.8</c:v>
                </c:pt>
                <c:pt idx="57" formatCode="#,##0.00">
                  <c:v>1010</c:v>
                </c:pt>
                <c:pt idx="58" formatCode="#,##0.00">
                  <c:v>1018.7</c:v>
                </c:pt>
                <c:pt idx="59" formatCode="#,##0.00">
                  <c:v>1026.9000000000001</c:v>
                </c:pt>
                <c:pt idx="60" formatCode="#,##0.00">
                  <c:v>1016.6</c:v>
                </c:pt>
              </c:numCache>
            </c:numRef>
          </c:val>
        </c:ser>
        <c:ser>
          <c:idx val="3"/>
          <c:order val="1"/>
          <c:tx>
            <c:strRef>
              <c:f>'Zamestnanci podľa typu PČ'!$A$13</c:f>
              <c:strCache>
                <c:ptCount val="1"/>
                <c:pt idx="0">
                  <c:v>Zamestnanci na kratší prac. čas</c:v>
                </c:pt>
              </c:strCache>
            </c:strRef>
          </c:tx>
          <c:invertIfNegative val="0"/>
          <c:cat>
            <c:strRef>
              <c:f>'Zamestnanci podľa typu PČ'!$Z$1:$CH$1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'Zamestnanci podľa typu PČ'!$Z$13:$CH$13</c:f>
              <c:numCache>
                <c:formatCode>General</c:formatCode>
                <c:ptCount val="61"/>
                <c:pt idx="0">
                  <c:v>12</c:v>
                </c:pt>
                <c:pt idx="1">
                  <c:v>9.8000000000000007</c:v>
                </c:pt>
                <c:pt idx="2">
                  <c:v>10.1</c:v>
                </c:pt>
                <c:pt idx="3">
                  <c:v>12.4</c:v>
                </c:pt>
                <c:pt idx="4">
                  <c:v>12</c:v>
                </c:pt>
                <c:pt idx="5">
                  <c:v>12.2</c:v>
                </c:pt>
                <c:pt idx="6">
                  <c:v>12.9</c:v>
                </c:pt>
                <c:pt idx="7">
                  <c:v>13.1</c:v>
                </c:pt>
                <c:pt idx="8">
                  <c:v>11.8</c:v>
                </c:pt>
                <c:pt idx="9">
                  <c:v>12.1</c:v>
                </c:pt>
                <c:pt idx="10">
                  <c:v>12</c:v>
                </c:pt>
                <c:pt idx="11">
                  <c:v>11.6</c:v>
                </c:pt>
                <c:pt idx="12">
                  <c:v>10.9</c:v>
                </c:pt>
                <c:pt idx="13">
                  <c:v>14.2</c:v>
                </c:pt>
                <c:pt idx="14">
                  <c:v>15.2</c:v>
                </c:pt>
                <c:pt idx="15">
                  <c:v>14.6</c:v>
                </c:pt>
                <c:pt idx="16">
                  <c:v>16.7</c:v>
                </c:pt>
                <c:pt idx="17">
                  <c:v>15.4</c:v>
                </c:pt>
                <c:pt idx="18">
                  <c:v>15.5</c:v>
                </c:pt>
                <c:pt idx="19">
                  <c:v>13.9</c:v>
                </c:pt>
                <c:pt idx="20">
                  <c:v>13.2</c:v>
                </c:pt>
                <c:pt idx="21">
                  <c:v>13.5</c:v>
                </c:pt>
                <c:pt idx="22">
                  <c:v>17.2</c:v>
                </c:pt>
                <c:pt idx="23">
                  <c:v>14.9</c:v>
                </c:pt>
                <c:pt idx="24">
                  <c:v>14.7</c:v>
                </c:pt>
                <c:pt idx="25">
                  <c:v>14</c:v>
                </c:pt>
                <c:pt idx="26">
                  <c:v>15.6</c:v>
                </c:pt>
                <c:pt idx="27">
                  <c:v>13.7</c:v>
                </c:pt>
                <c:pt idx="28">
                  <c:v>13.7</c:v>
                </c:pt>
                <c:pt idx="29">
                  <c:v>13.3</c:v>
                </c:pt>
                <c:pt idx="30">
                  <c:v>13.7</c:v>
                </c:pt>
                <c:pt idx="31">
                  <c:v>11.4</c:v>
                </c:pt>
                <c:pt idx="32">
                  <c:v>10.4</c:v>
                </c:pt>
                <c:pt idx="33">
                  <c:v>11.2</c:v>
                </c:pt>
                <c:pt idx="34">
                  <c:v>26.6</c:v>
                </c:pt>
                <c:pt idx="35">
                  <c:v>23.3</c:v>
                </c:pt>
                <c:pt idx="36">
                  <c:v>31.2</c:v>
                </c:pt>
                <c:pt idx="37">
                  <c:v>41.1</c:v>
                </c:pt>
                <c:pt idx="38">
                  <c:v>32.6</c:v>
                </c:pt>
                <c:pt idx="39">
                  <c:v>29.1</c:v>
                </c:pt>
                <c:pt idx="40">
                  <c:v>28.5</c:v>
                </c:pt>
                <c:pt idx="41">
                  <c:v>35.200000000000003</c:v>
                </c:pt>
                <c:pt idx="42">
                  <c:v>36.4</c:v>
                </c:pt>
                <c:pt idx="43">
                  <c:v>31.7</c:v>
                </c:pt>
                <c:pt idx="44">
                  <c:v>33.1</c:v>
                </c:pt>
                <c:pt idx="45">
                  <c:v>34.5</c:v>
                </c:pt>
                <c:pt idx="46">
                  <c:v>35.6</c:v>
                </c:pt>
                <c:pt idx="47">
                  <c:v>33.200000000000003</c:v>
                </c:pt>
                <c:pt idx="48">
                  <c:v>33.299999999999997</c:v>
                </c:pt>
                <c:pt idx="49">
                  <c:v>35.4</c:v>
                </c:pt>
                <c:pt idx="50">
                  <c:v>32.9</c:v>
                </c:pt>
                <c:pt idx="51">
                  <c:v>34.4</c:v>
                </c:pt>
                <c:pt idx="52">
                  <c:v>38.299999999999997</c:v>
                </c:pt>
                <c:pt idx="53">
                  <c:v>42.6</c:v>
                </c:pt>
                <c:pt idx="54">
                  <c:v>36.4</c:v>
                </c:pt>
                <c:pt idx="55">
                  <c:v>38.799999999999997</c:v>
                </c:pt>
                <c:pt idx="56">
                  <c:v>41.3</c:v>
                </c:pt>
                <c:pt idx="57">
                  <c:v>43.1</c:v>
                </c:pt>
                <c:pt idx="58">
                  <c:v>51</c:v>
                </c:pt>
                <c:pt idx="59">
                  <c:v>50.5</c:v>
                </c:pt>
                <c:pt idx="60">
                  <c:v>56.8</c:v>
                </c:pt>
              </c:numCache>
            </c:numRef>
          </c:val>
        </c:ser>
        <c:ser>
          <c:idx val="4"/>
          <c:order val="2"/>
          <c:tx>
            <c:strRef>
              <c:f>'Zamestnanci podľa typu PČ'!$A$14</c:f>
              <c:strCache>
                <c:ptCount val="1"/>
                <c:pt idx="0">
                  <c:v>Podzamestnaní (do r. 2010)</c:v>
                </c:pt>
              </c:strCache>
            </c:strRef>
          </c:tx>
          <c:invertIfNegative val="0"/>
          <c:cat>
            <c:strRef>
              <c:f>'Zamestnanci podľa typu PČ'!$Z$1:$CH$1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'Zamestnanci podľa typu PČ'!$Z$14:$CH$14</c:f>
              <c:numCache>
                <c:formatCode>General</c:formatCode>
                <c:ptCount val="61"/>
                <c:pt idx="0">
                  <c:v>1.3</c:v>
                </c:pt>
                <c:pt idx="1">
                  <c:v>1</c:v>
                </c:pt>
                <c:pt idx="2">
                  <c:v>1.3</c:v>
                </c:pt>
                <c:pt idx="3">
                  <c:v>3.2</c:v>
                </c:pt>
                <c:pt idx="4">
                  <c:v>2.6</c:v>
                </c:pt>
                <c:pt idx="5">
                  <c:v>2.4</c:v>
                </c:pt>
                <c:pt idx="6">
                  <c:v>2.1</c:v>
                </c:pt>
                <c:pt idx="7">
                  <c:v>2</c:v>
                </c:pt>
                <c:pt idx="8">
                  <c:v>1.3</c:v>
                </c:pt>
                <c:pt idx="9">
                  <c:v>1.4</c:v>
                </c:pt>
                <c:pt idx="10">
                  <c:v>1.5</c:v>
                </c:pt>
                <c:pt idx="11">
                  <c:v>2.1</c:v>
                </c:pt>
                <c:pt idx="12">
                  <c:v>2.1</c:v>
                </c:pt>
                <c:pt idx="13">
                  <c:v>2.5</c:v>
                </c:pt>
                <c:pt idx="14">
                  <c:v>2.9</c:v>
                </c:pt>
                <c:pt idx="15">
                  <c:v>1.8</c:v>
                </c:pt>
                <c:pt idx="16">
                  <c:v>3.9</c:v>
                </c:pt>
                <c:pt idx="17">
                  <c:v>3.4</c:v>
                </c:pt>
                <c:pt idx="18">
                  <c:v>3.1</c:v>
                </c:pt>
                <c:pt idx="19">
                  <c:v>3.2</c:v>
                </c:pt>
                <c:pt idx="20">
                  <c:v>3.7</c:v>
                </c:pt>
                <c:pt idx="21">
                  <c:v>3.8</c:v>
                </c:pt>
                <c:pt idx="22">
                  <c:v>5.7</c:v>
                </c:pt>
                <c:pt idx="23">
                  <c:v>5.4</c:v>
                </c:pt>
                <c:pt idx="24">
                  <c:v>4.8</c:v>
                </c:pt>
                <c:pt idx="25">
                  <c:v>5.5</c:v>
                </c:pt>
                <c:pt idx="26">
                  <c:v>6.2</c:v>
                </c:pt>
                <c:pt idx="27">
                  <c:v>4.5</c:v>
                </c:pt>
                <c:pt idx="28">
                  <c:v>4.2</c:v>
                </c:pt>
                <c:pt idx="29">
                  <c:v>4.3</c:v>
                </c:pt>
                <c:pt idx="30">
                  <c:v>4.5</c:v>
                </c:pt>
                <c:pt idx="31">
                  <c:v>3.9</c:v>
                </c:pt>
                <c:pt idx="32">
                  <c:v>3.4</c:v>
                </c:pt>
                <c:pt idx="33">
                  <c:v>4.5999999999999996</c:v>
                </c:pt>
                <c:pt idx="34">
                  <c:v>19.2</c:v>
                </c:pt>
                <c:pt idx="35">
                  <c:v>15.3</c:v>
                </c:pt>
                <c:pt idx="36">
                  <c:v>23.4</c:v>
                </c:pt>
                <c:pt idx="37">
                  <c:v>31.8</c:v>
                </c:pt>
                <c:pt idx="38">
                  <c:v>22.1</c:v>
                </c:pt>
                <c:pt idx="39">
                  <c:v>19.600000000000001</c:v>
                </c:pt>
                <c:pt idx="40">
                  <c:v>19.3</c:v>
                </c:pt>
                <c:pt idx="41">
                  <c:v>26.8</c:v>
                </c:pt>
                <c:pt idx="42">
                  <c:v>26.8</c:v>
                </c:pt>
                <c:pt idx="43">
                  <c:v>23.1</c:v>
                </c:pt>
              </c:numCache>
            </c:numRef>
          </c:val>
        </c:ser>
        <c:ser>
          <c:idx val="5"/>
          <c:order val="3"/>
          <c:tx>
            <c:strRef>
              <c:f>'Zamestnanci podľa typu PČ'!$A$15</c:f>
              <c:strCache>
                <c:ptCount val="1"/>
                <c:pt idx="0">
                  <c:v>Podzamestnaní (od r. 2011)</c:v>
                </c:pt>
              </c:strCache>
            </c:strRef>
          </c:tx>
          <c:invertIfNegative val="0"/>
          <c:cat>
            <c:strRef>
              <c:f>'Zamestnanci podľa typu PČ'!$Z$1:$CH$1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'Zamestnanci podľa typu PČ'!$Z$15:$CH$15</c:f>
              <c:numCache>
                <c:formatCode>General</c:formatCode>
                <c:ptCount val="61"/>
                <c:pt idx="45">
                  <c:v>18.600000000000001</c:v>
                </c:pt>
                <c:pt idx="46">
                  <c:v>18.2</c:v>
                </c:pt>
                <c:pt idx="47">
                  <c:v>17.100000000000001</c:v>
                </c:pt>
                <c:pt idx="48">
                  <c:v>17.899999999999999</c:v>
                </c:pt>
                <c:pt idx="49">
                  <c:v>19.600000000000001</c:v>
                </c:pt>
                <c:pt idx="50">
                  <c:v>18.100000000000001</c:v>
                </c:pt>
                <c:pt idx="51">
                  <c:v>20.3</c:v>
                </c:pt>
                <c:pt idx="52">
                  <c:v>21.6</c:v>
                </c:pt>
                <c:pt idx="53">
                  <c:v>23.7</c:v>
                </c:pt>
                <c:pt idx="54">
                  <c:v>17.899999999999999</c:v>
                </c:pt>
                <c:pt idx="55">
                  <c:v>17.399999999999999</c:v>
                </c:pt>
                <c:pt idx="56">
                  <c:v>18.3</c:v>
                </c:pt>
                <c:pt idx="57">
                  <c:v>22.4</c:v>
                </c:pt>
                <c:pt idx="58">
                  <c:v>28.5</c:v>
                </c:pt>
                <c:pt idx="59">
                  <c:v>28</c:v>
                </c:pt>
                <c:pt idx="60">
                  <c:v>30.8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21189120"/>
        <c:axId val="121190656"/>
      </c:barChart>
      <c:catAx>
        <c:axId val="121189120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en-US"/>
          </a:p>
        </c:txPr>
        <c:crossAx val="121190656"/>
        <c:crosses val="autoZero"/>
        <c:auto val="1"/>
        <c:lblAlgn val="ctr"/>
        <c:lblOffset val="100"/>
        <c:noMultiLvlLbl val="0"/>
      </c:catAx>
      <c:valAx>
        <c:axId val="121190656"/>
        <c:scaling>
          <c:orientation val="minMax"/>
          <c:min val="600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en-US"/>
          </a:p>
        </c:txPr>
        <c:crossAx val="121189120"/>
        <c:crosses val="autoZero"/>
        <c:crossBetween val="between"/>
      </c:valAx>
    </c:plotArea>
    <c:legend>
      <c:legendPos val="b"/>
      <c:overlay val="0"/>
      <c:txPr>
        <a:bodyPr/>
        <a:lstStyle/>
        <a:p>
          <a:pPr>
            <a:defRPr sz="800"/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2"/>
          <c:order val="0"/>
          <c:tx>
            <c:strRef>
              <c:f>'Zamestnanci podľa typu PČ'!$A$20</c:f>
              <c:strCache>
                <c:ptCount val="1"/>
                <c:pt idx="0">
                  <c:v>Zamestnanci na plný prac. čas</c:v>
                </c:pt>
              </c:strCache>
            </c:strRef>
          </c:tx>
          <c:spPr>
            <a:solidFill>
              <a:srgbClr val="C00000"/>
            </a:solidFill>
          </c:spPr>
          <c:invertIfNegative val="0"/>
          <c:cat>
            <c:strRef>
              <c:f>'Zamestnanci podľa typu PČ'!$Z$1:$CH$1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'Zamestnanci podľa typu PČ'!$Z$20:$CH$20</c:f>
              <c:numCache>
                <c:formatCode>General</c:formatCode>
                <c:ptCount val="61"/>
                <c:pt idx="0">
                  <c:v>894.8</c:v>
                </c:pt>
                <c:pt idx="1">
                  <c:v>887.7</c:v>
                </c:pt>
                <c:pt idx="2">
                  <c:v>882.5</c:v>
                </c:pt>
                <c:pt idx="3">
                  <c:v>888</c:v>
                </c:pt>
                <c:pt idx="4">
                  <c:v>891.8</c:v>
                </c:pt>
                <c:pt idx="5">
                  <c:v>892</c:v>
                </c:pt>
                <c:pt idx="6">
                  <c:v>898.4</c:v>
                </c:pt>
                <c:pt idx="7">
                  <c:v>897.8</c:v>
                </c:pt>
                <c:pt idx="8">
                  <c:v>886.6</c:v>
                </c:pt>
                <c:pt idx="9">
                  <c:v>895.5</c:v>
                </c:pt>
                <c:pt idx="10">
                  <c:v>903.4</c:v>
                </c:pt>
                <c:pt idx="11">
                  <c:v>897.6</c:v>
                </c:pt>
                <c:pt idx="12">
                  <c:v>889.5</c:v>
                </c:pt>
                <c:pt idx="13">
                  <c:v>896</c:v>
                </c:pt>
                <c:pt idx="14">
                  <c:v>889.8</c:v>
                </c:pt>
                <c:pt idx="15">
                  <c:v>882.5</c:v>
                </c:pt>
                <c:pt idx="16">
                  <c:v>863.7</c:v>
                </c:pt>
                <c:pt idx="17">
                  <c:v>856</c:v>
                </c:pt>
                <c:pt idx="18">
                  <c:v>869.3</c:v>
                </c:pt>
                <c:pt idx="19">
                  <c:v>871.6</c:v>
                </c:pt>
                <c:pt idx="20">
                  <c:v>866.6</c:v>
                </c:pt>
                <c:pt idx="21">
                  <c:v>866.5</c:v>
                </c:pt>
                <c:pt idx="22">
                  <c:v>874.5</c:v>
                </c:pt>
                <c:pt idx="23">
                  <c:v>877.9</c:v>
                </c:pt>
                <c:pt idx="24">
                  <c:v>872.4</c:v>
                </c:pt>
                <c:pt idx="25">
                  <c:v>878.3</c:v>
                </c:pt>
                <c:pt idx="26">
                  <c:v>894.1</c:v>
                </c:pt>
                <c:pt idx="27">
                  <c:v>897.7</c:v>
                </c:pt>
                <c:pt idx="28">
                  <c:v>901.5</c:v>
                </c:pt>
                <c:pt idx="29">
                  <c:v>901.5</c:v>
                </c:pt>
                <c:pt idx="30">
                  <c:v>907.6</c:v>
                </c:pt>
                <c:pt idx="31">
                  <c:v>928</c:v>
                </c:pt>
                <c:pt idx="32">
                  <c:v>933.3</c:v>
                </c:pt>
                <c:pt idx="33">
                  <c:v>940.9</c:v>
                </c:pt>
                <c:pt idx="34">
                  <c:v>946.8</c:v>
                </c:pt>
                <c:pt idx="35">
                  <c:v>943.2</c:v>
                </c:pt>
                <c:pt idx="36">
                  <c:v>901.7</c:v>
                </c:pt>
                <c:pt idx="37">
                  <c:v>889.1</c:v>
                </c:pt>
                <c:pt idx="38">
                  <c:v>887.8</c:v>
                </c:pt>
                <c:pt idx="39">
                  <c:v>888.6</c:v>
                </c:pt>
                <c:pt idx="40">
                  <c:v>874.7</c:v>
                </c:pt>
                <c:pt idx="41">
                  <c:v>875.9</c:v>
                </c:pt>
                <c:pt idx="42">
                  <c:v>889.5</c:v>
                </c:pt>
                <c:pt idx="43">
                  <c:v>892</c:v>
                </c:pt>
                <c:pt idx="44">
                  <c:v>863.5</c:v>
                </c:pt>
                <c:pt idx="45">
                  <c:v>870.6</c:v>
                </c:pt>
                <c:pt idx="46">
                  <c:v>869.7</c:v>
                </c:pt>
                <c:pt idx="47">
                  <c:v>859</c:v>
                </c:pt>
                <c:pt idx="48">
                  <c:v>865.9</c:v>
                </c:pt>
                <c:pt idx="49">
                  <c:v>875.6</c:v>
                </c:pt>
                <c:pt idx="50">
                  <c:v>871.4</c:v>
                </c:pt>
                <c:pt idx="51">
                  <c:v>862.7</c:v>
                </c:pt>
                <c:pt idx="52">
                  <c:v>864.6</c:v>
                </c:pt>
                <c:pt idx="53">
                  <c:v>864.1</c:v>
                </c:pt>
                <c:pt idx="54">
                  <c:v>878.3</c:v>
                </c:pt>
                <c:pt idx="55">
                  <c:v>881.5</c:v>
                </c:pt>
                <c:pt idx="56">
                  <c:v>877.5</c:v>
                </c:pt>
                <c:pt idx="57">
                  <c:v>871.9</c:v>
                </c:pt>
                <c:pt idx="58">
                  <c:v>871.4</c:v>
                </c:pt>
                <c:pt idx="59">
                  <c:v>880.8</c:v>
                </c:pt>
                <c:pt idx="60">
                  <c:v>870.7</c:v>
                </c:pt>
              </c:numCache>
            </c:numRef>
          </c:val>
        </c:ser>
        <c:ser>
          <c:idx val="3"/>
          <c:order val="1"/>
          <c:tx>
            <c:strRef>
              <c:f>'Zamestnanci podľa typu PČ'!$A$21</c:f>
              <c:strCache>
                <c:ptCount val="1"/>
                <c:pt idx="0">
                  <c:v>Zamestnanci na kratší prac. čas</c:v>
                </c:pt>
              </c:strCache>
            </c:strRef>
          </c:tx>
          <c:invertIfNegative val="0"/>
          <c:cat>
            <c:strRef>
              <c:f>'Zamestnanci podľa typu PČ'!$Z$1:$CH$1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'Zamestnanci podľa typu PČ'!$Z$21:$CH$21</c:f>
              <c:numCache>
                <c:formatCode>General</c:formatCode>
                <c:ptCount val="61"/>
                <c:pt idx="0">
                  <c:v>28.8</c:v>
                </c:pt>
                <c:pt idx="1">
                  <c:v>26.4</c:v>
                </c:pt>
                <c:pt idx="2">
                  <c:v>27.7</c:v>
                </c:pt>
                <c:pt idx="3">
                  <c:v>32.1</c:v>
                </c:pt>
                <c:pt idx="4">
                  <c:v>34.9</c:v>
                </c:pt>
                <c:pt idx="5">
                  <c:v>35.799999999999997</c:v>
                </c:pt>
                <c:pt idx="6">
                  <c:v>32.4</c:v>
                </c:pt>
                <c:pt idx="7">
                  <c:v>29.7</c:v>
                </c:pt>
                <c:pt idx="8">
                  <c:v>26.6</c:v>
                </c:pt>
                <c:pt idx="9">
                  <c:v>25.4</c:v>
                </c:pt>
                <c:pt idx="10">
                  <c:v>24</c:v>
                </c:pt>
                <c:pt idx="11">
                  <c:v>27.5</c:v>
                </c:pt>
                <c:pt idx="12">
                  <c:v>33.799999999999997</c:v>
                </c:pt>
                <c:pt idx="13">
                  <c:v>34.4</c:v>
                </c:pt>
                <c:pt idx="14">
                  <c:v>33.6</c:v>
                </c:pt>
                <c:pt idx="15">
                  <c:v>38</c:v>
                </c:pt>
                <c:pt idx="16">
                  <c:v>36</c:v>
                </c:pt>
                <c:pt idx="17">
                  <c:v>37.799999999999997</c:v>
                </c:pt>
                <c:pt idx="18">
                  <c:v>39.700000000000003</c:v>
                </c:pt>
                <c:pt idx="19">
                  <c:v>38.9</c:v>
                </c:pt>
                <c:pt idx="20">
                  <c:v>36.299999999999997</c:v>
                </c:pt>
                <c:pt idx="21">
                  <c:v>35.6</c:v>
                </c:pt>
                <c:pt idx="22">
                  <c:v>36.5</c:v>
                </c:pt>
                <c:pt idx="23">
                  <c:v>40.1</c:v>
                </c:pt>
                <c:pt idx="24">
                  <c:v>39.299999999999997</c:v>
                </c:pt>
                <c:pt idx="25">
                  <c:v>44.7</c:v>
                </c:pt>
                <c:pt idx="26">
                  <c:v>45.2</c:v>
                </c:pt>
                <c:pt idx="27">
                  <c:v>45.1</c:v>
                </c:pt>
                <c:pt idx="28">
                  <c:v>45.5</c:v>
                </c:pt>
                <c:pt idx="29">
                  <c:v>44.5</c:v>
                </c:pt>
                <c:pt idx="30">
                  <c:v>40.4</c:v>
                </c:pt>
                <c:pt idx="31">
                  <c:v>39.700000000000003</c:v>
                </c:pt>
                <c:pt idx="32">
                  <c:v>38.4</c:v>
                </c:pt>
                <c:pt idx="33">
                  <c:v>37</c:v>
                </c:pt>
                <c:pt idx="34">
                  <c:v>47.1</c:v>
                </c:pt>
                <c:pt idx="35">
                  <c:v>43.9</c:v>
                </c:pt>
                <c:pt idx="36">
                  <c:v>43.7</c:v>
                </c:pt>
                <c:pt idx="37">
                  <c:v>48.1</c:v>
                </c:pt>
                <c:pt idx="38">
                  <c:v>47.1</c:v>
                </c:pt>
                <c:pt idx="39">
                  <c:v>44.2</c:v>
                </c:pt>
                <c:pt idx="40">
                  <c:v>44.7</c:v>
                </c:pt>
                <c:pt idx="41">
                  <c:v>55.4</c:v>
                </c:pt>
                <c:pt idx="42">
                  <c:v>57.8</c:v>
                </c:pt>
                <c:pt idx="43">
                  <c:v>54.3</c:v>
                </c:pt>
                <c:pt idx="44">
                  <c:v>57</c:v>
                </c:pt>
                <c:pt idx="45">
                  <c:v>59.2</c:v>
                </c:pt>
                <c:pt idx="46">
                  <c:v>57.2</c:v>
                </c:pt>
                <c:pt idx="47">
                  <c:v>56.6</c:v>
                </c:pt>
                <c:pt idx="48">
                  <c:v>57.6</c:v>
                </c:pt>
                <c:pt idx="49">
                  <c:v>54.2</c:v>
                </c:pt>
                <c:pt idx="50">
                  <c:v>52.6</c:v>
                </c:pt>
                <c:pt idx="51">
                  <c:v>54.2</c:v>
                </c:pt>
                <c:pt idx="52">
                  <c:v>62</c:v>
                </c:pt>
                <c:pt idx="53">
                  <c:v>62.9</c:v>
                </c:pt>
                <c:pt idx="54">
                  <c:v>58.6</c:v>
                </c:pt>
                <c:pt idx="55">
                  <c:v>59.5</c:v>
                </c:pt>
                <c:pt idx="56">
                  <c:v>64.5</c:v>
                </c:pt>
                <c:pt idx="57">
                  <c:v>66.8</c:v>
                </c:pt>
                <c:pt idx="58">
                  <c:v>67.3</c:v>
                </c:pt>
                <c:pt idx="59">
                  <c:v>70.3</c:v>
                </c:pt>
                <c:pt idx="60">
                  <c:v>84.4</c:v>
                </c:pt>
              </c:numCache>
            </c:numRef>
          </c:val>
        </c:ser>
        <c:ser>
          <c:idx val="4"/>
          <c:order val="2"/>
          <c:tx>
            <c:strRef>
              <c:f>'Zamestnanci podľa typu PČ'!$A$22</c:f>
              <c:strCache>
                <c:ptCount val="1"/>
                <c:pt idx="0">
                  <c:v>Podzamestnaní (do r. 2010)</c:v>
                </c:pt>
              </c:strCache>
            </c:strRef>
          </c:tx>
          <c:invertIfNegative val="0"/>
          <c:cat>
            <c:strRef>
              <c:f>'Zamestnanci podľa typu PČ'!$Z$1:$CH$1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'Zamestnanci podľa typu PČ'!$Z$22:$CH$22</c:f>
              <c:numCache>
                <c:formatCode>General</c:formatCode>
                <c:ptCount val="61"/>
                <c:pt idx="0">
                  <c:v>11.7</c:v>
                </c:pt>
                <c:pt idx="1">
                  <c:v>10</c:v>
                </c:pt>
                <c:pt idx="2">
                  <c:v>11.4</c:v>
                </c:pt>
                <c:pt idx="3">
                  <c:v>13.7</c:v>
                </c:pt>
                <c:pt idx="4">
                  <c:v>13.7</c:v>
                </c:pt>
                <c:pt idx="5">
                  <c:v>15.1</c:v>
                </c:pt>
                <c:pt idx="6">
                  <c:v>15</c:v>
                </c:pt>
                <c:pt idx="7">
                  <c:v>15.2</c:v>
                </c:pt>
                <c:pt idx="8">
                  <c:v>12.9</c:v>
                </c:pt>
                <c:pt idx="9">
                  <c:v>12.2</c:v>
                </c:pt>
                <c:pt idx="10">
                  <c:v>9.9</c:v>
                </c:pt>
                <c:pt idx="11">
                  <c:v>11.8</c:v>
                </c:pt>
                <c:pt idx="12">
                  <c:v>14.1</c:v>
                </c:pt>
                <c:pt idx="13">
                  <c:v>13.1</c:v>
                </c:pt>
                <c:pt idx="14">
                  <c:v>11.9</c:v>
                </c:pt>
                <c:pt idx="15">
                  <c:v>14.8</c:v>
                </c:pt>
                <c:pt idx="16">
                  <c:v>13.1</c:v>
                </c:pt>
                <c:pt idx="17">
                  <c:v>14</c:v>
                </c:pt>
                <c:pt idx="18">
                  <c:v>15</c:v>
                </c:pt>
                <c:pt idx="19">
                  <c:v>15.9</c:v>
                </c:pt>
                <c:pt idx="20">
                  <c:v>15.9</c:v>
                </c:pt>
                <c:pt idx="21">
                  <c:v>17.100000000000001</c:v>
                </c:pt>
                <c:pt idx="22">
                  <c:v>18</c:v>
                </c:pt>
                <c:pt idx="23">
                  <c:v>20.3</c:v>
                </c:pt>
                <c:pt idx="24">
                  <c:v>17.8</c:v>
                </c:pt>
                <c:pt idx="25">
                  <c:v>18.399999999999999</c:v>
                </c:pt>
                <c:pt idx="26">
                  <c:v>17.7</c:v>
                </c:pt>
                <c:pt idx="27">
                  <c:v>15.9</c:v>
                </c:pt>
                <c:pt idx="28">
                  <c:v>16.7</c:v>
                </c:pt>
                <c:pt idx="29">
                  <c:v>16.399999999999999</c:v>
                </c:pt>
                <c:pt idx="30">
                  <c:v>14.7</c:v>
                </c:pt>
                <c:pt idx="31">
                  <c:v>14.4</c:v>
                </c:pt>
                <c:pt idx="32">
                  <c:v>13.7</c:v>
                </c:pt>
                <c:pt idx="33">
                  <c:v>13.9</c:v>
                </c:pt>
                <c:pt idx="34">
                  <c:v>26.9</c:v>
                </c:pt>
                <c:pt idx="35">
                  <c:v>24.8</c:v>
                </c:pt>
                <c:pt idx="36">
                  <c:v>25.3</c:v>
                </c:pt>
                <c:pt idx="37">
                  <c:v>29.3</c:v>
                </c:pt>
                <c:pt idx="38">
                  <c:v>28.8</c:v>
                </c:pt>
                <c:pt idx="39">
                  <c:v>26</c:v>
                </c:pt>
                <c:pt idx="40">
                  <c:v>26.5</c:v>
                </c:pt>
                <c:pt idx="41">
                  <c:v>36.5</c:v>
                </c:pt>
                <c:pt idx="42">
                  <c:v>36.6</c:v>
                </c:pt>
                <c:pt idx="43">
                  <c:v>29.9</c:v>
                </c:pt>
              </c:numCache>
            </c:numRef>
          </c:val>
        </c:ser>
        <c:ser>
          <c:idx val="5"/>
          <c:order val="3"/>
          <c:tx>
            <c:strRef>
              <c:f>'Zamestnanci podľa typu PČ'!$A$23</c:f>
              <c:strCache>
                <c:ptCount val="1"/>
                <c:pt idx="0">
                  <c:v>Podzamestnaní (od r. 2011)</c:v>
                </c:pt>
              </c:strCache>
            </c:strRef>
          </c:tx>
          <c:invertIfNegative val="0"/>
          <c:cat>
            <c:strRef>
              <c:f>'Zamestnanci podľa typu PČ'!$Z$1:$CH$1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'Zamestnanci podľa typu PČ'!$Z$23:$CH$23</c:f>
              <c:numCache>
                <c:formatCode>General</c:formatCode>
                <c:ptCount val="61"/>
                <c:pt idx="44">
                  <c:v>16.7</c:v>
                </c:pt>
                <c:pt idx="45">
                  <c:v>18.899999999999999</c:v>
                </c:pt>
                <c:pt idx="46">
                  <c:v>19.100000000000001</c:v>
                </c:pt>
                <c:pt idx="47">
                  <c:v>17.7</c:v>
                </c:pt>
                <c:pt idx="48">
                  <c:v>17.899999999999999</c:v>
                </c:pt>
                <c:pt idx="49">
                  <c:v>16.3</c:v>
                </c:pt>
                <c:pt idx="50">
                  <c:v>16.399999999999999</c:v>
                </c:pt>
                <c:pt idx="51">
                  <c:v>17.399999999999999</c:v>
                </c:pt>
                <c:pt idx="52">
                  <c:v>22</c:v>
                </c:pt>
                <c:pt idx="53">
                  <c:v>23.5</c:v>
                </c:pt>
                <c:pt idx="54">
                  <c:v>21</c:v>
                </c:pt>
                <c:pt idx="55">
                  <c:v>19.600000000000001</c:v>
                </c:pt>
                <c:pt idx="56">
                  <c:v>19.3</c:v>
                </c:pt>
                <c:pt idx="57">
                  <c:v>20.6</c:v>
                </c:pt>
                <c:pt idx="58">
                  <c:v>22.4</c:v>
                </c:pt>
                <c:pt idx="59">
                  <c:v>24.6</c:v>
                </c:pt>
                <c:pt idx="60">
                  <c:v>31.4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21217408"/>
        <c:axId val="121218944"/>
      </c:barChart>
      <c:catAx>
        <c:axId val="121217408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en-US"/>
          </a:p>
        </c:txPr>
        <c:crossAx val="121218944"/>
        <c:crosses val="autoZero"/>
        <c:auto val="1"/>
        <c:lblAlgn val="ctr"/>
        <c:lblOffset val="100"/>
        <c:noMultiLvlLbl val="0"/>
      </c:catAx>
      <c:valAx>
        <c:axId val="121218944"/>
        <c:scaling>
          <c:orientation val="minMax"/>
          <c:min val="600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en-US"/>
          </a:p>
        </c:txPr>
        <c:crossAx val="121217408"/>
        <c:crosses val="autoZero"/>
        <c:crossBetween val="between"/>
      </c:valAx>
    </c:plotArea>
    <c:legend>
      <c:legendPos val="b"/>
      <c:overlay val="0"/>
      <c:txPr>
        <a:bodyPr/>
        <a:lstStyle/>
        <a:p>
          <a:pPr>
            <a:defRPr sz="800"/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2"/>
          <c:order val="0"/>
          <c:spPr>
            <a:solidFill>
              <a:srgbClr val="92D050"/>
            </a:solidFill>
          </c:spPr>
          <c:invertIfNegative val="0"/>
          <c:cat>
            <c:strRef>
              <c:f>'Zamestnanci v zahraničí'!$A$5:$A$50</c:f>
              <c:strCache>
                <c:ptCount val="46"/>
                <c:pt idx="0">
                  <c:v>Q1/2004</c:v>
                </c:pt>
                <c:pt idx="1">
                  <c:v>Q2/2004</c:v>
                </c:pt>
                <c:pt idx="2">
                  <c:v>Q3/2004</c:v>
                </c:pt>
                <c:pt idx="3">
                  <c:v>Q4/2004</c:v>
                </c:pt>
                <c:pt idx="4">
                  <c:v>Q1/2005</c:v>
                </c:pt>
                <c:pt idx="5">
                  <c:v>Q2/2005</c:v>
                </c:pt>
                <c:pt idx="6">
                  <c:v>Q3/2005</c:v>
                </c:pt>
                <c:pt idx="7">
                  <c:v>Q4/2005</c:v>
                </c:pt>
                <c:pt idx="8">
                  <c:v>Q1/2006</c:v>
                </c:pt>
                <c:pt idx="9">
                  <c:v>Q2/2006</c:v>
                </c:pt>
                <c:pt idx="10">
                  <c:v>Q3/2006</c:v>
                </c:pt>
                <c:pt idx="11">
                  <c:v>Q4/2006</c:v>
                </c:pt>
                <c:pt idx="12">
                  <c:v>Q1/2007</c:v>
                </c:pt>
                <c:pt idx="13">
                  <c:v>Q2/2007</c:v>
                </c:pt>
                <c:pt idx="14">
                  <c:v>Q3/2007</c:v>
                </c:pt>
                <c:pt idx="15">
                  <c:v>Q4/2007</c:v>
                </c:pt>
                <c:pt idx="16">
                  <c:v>Q1/2008</c:v>
                </c:pt>
                <c:pt idx="17">
                  <c:v>Q2/2008</c:v>
                </c:pt>
                <c:pt idx="18">
                  <c:v>Q3/2008</c:v>
                </c:pt>
                <c:pt idx="19">
                  <c:v>Q4/2008</c:v>
                </c:pt>
                <c:pt idx="20">
                  <c:v>Q1/2009</c:v>
                </c:pt>
                <c:pt idx="21">
                  <c:v>Q2/2009</c:v>
                </c:pt>
                <c:pt idx="22">
                  <c:v>Q3/2009</c:v>
                </c:pt>
                <c:pt idx="23">
                  <c:v>Q4/2009</c:v>
                </c:pt>
                <c:pt idx="24">
                  <c:v>Q1/2010</c:v>
                </c:pt>
                <c:pt idx="25">
                  <c:v>Q2/2010</c:v>
                </c:pt>
                <c:pt idx="26">
                  <c:v>Q3/2010</c:v>
                </c:pt>
                <c:pt idx="27">
                  <c:v>Q4/2010</c:v>
                </c:pt>
                <c:pt idx="28">
                  <c:v>Q1/2011</c:v>
                </c:pt>
                <c:pt idx="29">
                  <c:v>Q2/2011</c:v>
                </c:pt>
                <c:pt idx="30">
                  <c:v>Q3/2011</c:v>
                </c:pt>
                <c:pt idx="31">
                  <c:v>Q4/2011</c:v>
                </c:pt>
                <c:pt idx="32">
                  <c:v>Q1/2012</c:v>
                </c:pt>
                <c:pt idx="33">
                  <c:v>Q2/2012</c:v>
                </c:pt>
                <c:pt idx="34">
                  <c:v>Q3/2012</c:v>
                </c:pt>
                <c:pt idx="35">
                  <c:v>Q4/2012</c:v>
                </c:pt>
                <c:pt idx="36">
                  <c:v>Q1/2013</c:v>
                </c:pt>
                <c:pt idx="37">
                  <c:v>Q2/2013</c:v>
                </c:pt>
                <c:pt idx="38">
                  <c:v>Q3/2013</c:v>
                </c:pt>
                <c:pt idx="39">
                  <c:v>Q4/2013</c:v>
                </c:pt>
                <c:pt idx="40">
                  <c:v>Q1/2014</c:v>
                </c:pt>
                <c:pt idx="41">
                  <c:v>Q2/2014</c:v>
                </c:pt>
                <c:pt idx="42">
                  <c:v>Q3/2014</c:v>
                </c:pt>
                <c:pt idx="43">
                  <c:v>Q4/2014</c:v>
                </c:pt>
                <c:pt idx="44">
                  <c:v>Q1/2015</c:v>
                </c:pt>
                <c:pt idx="45">
                  <c:v>Q2/2015</c:v>
                </c:pt>
              </c:strCache>
            </c:strRef>
          </c:cat>
          <c:val>
            <c:numRef>
              <c:f>'Zamestnanci v zahraničí'!$B$5:$B$50</c:f>
              <c:numCache>
                <c:formatCode>0.0</c:formatCode>
                <c:ptCount val="46"/>
                <c:pt idx="0" formatCode="General">
                  <c:v>89.3</c:v>
                </c:pt>
                <c:pt idx="1">
                  <c:v>94.9</c:v>
                </c:pt>
                <c:pt idx="2">
                  <c:v>111.2</c:v>
                </c:pt>
                <c:pt idx="3">
                  <c:v>119</c:v>
                </c:pt>
                <c:pt idx="4">
                  <c:v>110.5</c:v>
                </c:pt>
                <c:pt idx="5">
                  <c:v>120.3</c:v>
                </c:pt>
                <c:pt idx="6">
                  <c:v>134.5</c:v>
                </c:pt>
                <c:pt idx="7">
                  <c:v>136.30000000000001</c:v>
                </c:pt>
                <c:pt idx="8">
                  <c:v>141.69999999999999</c:v>
                </c:pt>
                <c:pt idx="9">
                  <c:v>155.80000000000001</c:v>
                </c:pt>
                <c:pt idx="10">
                  <c:v>166</c:v>
                </c:pt>
                <c:pt idx="11">
                  <c:v>168.8</c:v>
                </c:pt>
                <c:pt idx="12">
                  <c:v>175.5</c:v>
                </c:pt>
                <c:pt idx="13">
                  <c:v>173.9</c:v>
                </c:pt>
                <c:pt idx="14">
                  <c:v>173.8</c:v>
                </c:pt>
                <c:pt idx="15">
                  <c:v>185.7</c:v>
                </c:pt>
                <c:pt idx="16">
                  <c:v>176.7</c:v>
                </c:pt>
                <c:pt idx="17">
                  <c:v>165.4</c:v>
                </c:pt>
                <c:pt idx="18">
                  <c:v>165.2</c:v>
                </c:pt>
                <c:pt idx="19">
                  <c:v>163</c:v>
                </c:pt>
                <c:pt idx="20" formatCode="General">
                  <c:v>128.80000000000001</c:v>
                </c:pt>
                <c:pt idx="21" formatCode="General">
                  <c:v>124.6</c:v>
                </c:pt>
                <c:pt idx="22" formatCode="General">
                  <c:v>130.9</c:v>
                </c:pt>
                <c:pt idx="23" formatCode="General">
                  <c:v>131.69999999999999</c:v>
                </c:pt>
                <c:pt idx="24" formatCode="General">
                  <c:v>122.2</c:v>
                </c:pt>
                <c:pt idx="25" formatCode="General">
                  <c:v>130.5</c:v>
                </c:pt>
                <c:pt idx="26" formatCode="General">
                  <c:v>129.4</c:v>
                </c:pt>
                <c:pt idx="27" formatCode="General">
                  <c:v>124.7</c:v>
                </c:pt>
                <c:pt idx="28" formatCode="General">
                  <c:v>116.6</c:v>
                </c:pt>
                <c:pt idx="29" formatCode="General">
                  <c:v>115.4</c:v>
                </c:pt>
                <c:pt idx="30" formatCode="General">
                  <c:v>115.2</c:v>
                </c:pt>
                <c:pt idx="31" formatCode="General">
                  <c:v>113.4</c:v>
                </c:pt>
                <c:pt idx="32" formatCode="General">
                  <c:v>113.7</c:v>
                </c:pt>
                <c:pt idx="33" formatCode="General">
                  <c:v>119.4</c:v>
                </c:pt>
                <c:pt idx="34" formatCode="General">
                  <c:v>126.5</c:v>
                </c:pt>
                <c:pt idx="35" formatCode="General">
                  <c:v>123</c:v>
                </c:pt>
                <c:pt idx="36" formatCode="General">
                  <c:v>135.69999999999999</c:v>
                </c:pt>
                <c:pt idx="37" formatCode="General">
                  <c:v>136.30000000000001</c:v>
                </c:pt>
                <c:pt idx="38" formatCode="General">
                  <c:v>139.5</c:v>
                </c:pt>
                <c:pt idx="39" formatCode="General">
                  <c:v>134.19999999999999</c:v>
                </c:pt>
                <c:pt idx="40" formatCode="General">
                  <c:v>130.5</c:v>
                </c:pt>
                <c:pt idx="41" formatCode="General">
                  <c:v>133.80000000000001</c:v>
                </c:pt>
                <c:pt idx="42" formatCode="General">
                  <c:v>135.4</c:v>
                </c:pt>
                <c:pt idx="43" formatCode="General">
                  <c:v>136.19999999999999</c:v>
                </c:pt>
                <c:pt idx="44" formatCode="General">
                  <c:v>135.69999999999999</c:v>
                </c:pt>
                <c:pt idx="45" formatCode="General">
                  <c:v>141.9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1248000"/>
        <c:axId val="121253888"/>
      </c:barChart>
      <c:catAx>
        <c:axId val="121248000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600"/>
            </a:pPr>
            <a:endParaRPr lang="en-US"/>
          </a:p>
        </c:txPr>
        <c:crossAx val="121253888"/>
        <c:crosses val="autoZero"/>
        <c:auto val="1"/>
        <c:lblAlgn val="ctr"/>
        <c:lblOffset val="100"/>
        <c:noMultiLvlLbl val="0"/>
      </c:catAx>
      <c:valAx>
        <c:axId val="12125388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2124800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Data!$CP$245</c:f>
              <c:strCache>
                <c:ptCount val="1"/>
                <c:pt idx="0">
                  <c:v>2015Q1</c:v>
                </c:pt>
              </c:strCache>
            </c:strRef>
          </c:tx>
          <c:invertIfNegative val="0"/>
          <c:dLbls>
            <c:numFmt formatCode="#,##0" sourceLinked="0"/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Data!$A$246:$A$284</c:f>
              <c:strCache>
                <c:ptCount val="39"/>
                <c:pt idx="0">
                  <c:v>Netherlands</c:v>
                </c:pt>
                <c:pt idx="1">
                  <c:v>Switzerland</c:v>
                </c:pt>
                <c:pt idx="2">
                  <c:v>Austria</c:v>
                </c:pt>
                <c:pt idx="3">
                  <c:v>Germany</c:v>
                </c:pt>
                <c:pt idx="4">
                  <c:v>Norway</c:v>
                </c:pt>
                <c:pt idx="5">
                  <c:v>United Kingdom</c:v>
                </c:pt>
                <c:pt idx="6">
                  <c:v>Sweden</c:v>
                </c:pt>
                <c:pt idx="7">
                  <c:v>Iceland</c:v>
                </c:pt>
                <c:pt idx="8">
                  <c:v>Denmark</c:v>
                </c:pt>
                <c:pt idx="9">
                  <c:v>Belgium</c:v>
                </c:pt>
                <c:pt idx="10">
                  <c:v>EU (15 countries)</c:v>
                </c:pt>
                <c:pt idx="11">
                  <c:v>Euro area (17 countries)</c:v>
                </c:pt>
                <c:pt idx="12">
                  <c:v>Ireland</c:v>
                </c:pt>
                <c:pt idx="13">
                  <c:v>Euro area (18 countries)</c:v>
                </c:pt>
                <c:pt idx="14">
                  <c:v>Euro area (19 countries)</c:v>
                </c:pt>
                <c:pt idx="15">
                  <c:v>EU (27 countries)</c:v>
                </c:pt>
                <c:pt idx="16">
                  <c:v>EU (28 countries)</c:v>
                </c:pt>
                <c:pt idx="17">
                  <c:v>France</c:v>
                </c:pt>
                <c:pt idx="18">
                  <c:v>Luxembourg</c:v>
                </c:pt>
                <c:pt idx="19">
                  <c:v>Italy</c:v>
                </c:pt>
                <c:pt idx="20">
                  <c:v>Spain</c:v>
                </c:pt>
                <c:pt idx="21">
                  <c:v>Finland</c:v>
                </c:pt>
                <c:pt idx="22">
                  <c:v>Malta</c:v>
                </c:pt>
                <c:pt idx="23">
                  <c:v>Cyprus</c:v>
                </c:pt>
                <c:pt idx="24">
                  <c:v>Portugal</c:v>
                </c:pt>
                <c:pt idx="25">
                  <c:v>Turkey</c:v>
                </c:pt>
                <c:pt idx="26">
                  <c:v>Slovenia</c:v>
                </c:pt>
                <c:pt idx="27">
                  <c:v>Estonia</c:v>
                </c:pt>
                <c:pt idx="28">
                  <c:v>Romania</c:v>
                </c:pt>
                <c:pt idx="29">
                  <c:v>Greece</c:v>
                </c:pt>
                <c:pt idx="30">
                  <c:v>Lithuania</c:v>
                </c:pt>
                <c:pt idx="31">
                  <c:v>Poland</c:v>
                </c:pt>
                <c:pt idx="32">
                  <c:v>Croatia</c:v>
                </c:pt>
                <c:pt idx="33">
                  <c:v>Latvia</c:v>
                </c:pt>
                <c:pt idx="34">
                  <c:v>Hungary</c:v>
                </c:pt>
                <c:pt idx="35">
                  <c:v>Slovakia</c:v>
                </c:pt>
                <c:pt idx="36">
                  <c:v>Czech Republic</c:v>
                </c:pt>
                <c:pt idx="37">
                  <c:v>FYR of Macedonia</c:v>
                </c:pt>
                <c:pt idx="38">
                  <c:v>Bulgaria</c:v>
                </c:pt>
              </c:strCache>
            </c:strRef>
          </c:cat>
          <c:val>
            <c:numRef>
              <c:f>Data!$CP$246:$CP$284</c:f>
              <c:numCache>
                <c:formatCode>#,##0.0</c:formatCode>
                <c:ptCount val="39"/>
                <c:pt idx="0">
                  <c:v>50.9</c:v>
                </c:pt>
                <c:pt idx="1">
                  <c:v>38.700000000000003</c:v>
                </c:pt>
                <c:pt idx="2">
                  <c:v>28.6</c:v>
                </c:pt>
                <c:pt idx="3">
                  <c:v>28</c:v>
                </c:pt>
                <c:pt idx="4">
                  <c:v>27.1</c:v>
                </c:pt>
                <c:pt idx="5">
                  <c:v>26.9</c:v>
                </c:pt>
                <c:pt idx="6">
                  <c:v>26.7</c:v>
                </c:pt>
                <c:pt idx="7">
                  <c:v>26.5</c:v>
                </c:pt>
                <c:pt idx="8">
                  <c:v>26</c:v>
                </c:pt>
                <c:pt idx="9">
                  <c:v>25.3</c:v>
                </c:pt>
                <c:pt idx="10">
                  <c:v>24</c:v>
                </c:pt>
                <c:pt idx="11">
                  <c:v>22.8</c:v>
                </c:pt>
                <c:pt idx="12">
                  <c:v>22.8</c:v>
                </c:pt>
                <c:pt idx="13">
                  <c:v>22.7</c:v>
                </c:pt>
                <c:pt idx="14">
                  <c:v>22.6</c:v>
                </c:pt>
                <c:pt idx="15">
                  <c:v>20.8</c:v>
                </c:pt>
                <c:pt idx="16">
                  <c:v>20.7</c:v>
                </c:pt>
                <c:pt idx="17">
                  <c:v>19</c:v>
                </c:pt>
                <c:pt idx="18">
                  <c:v>18.8</c:v>
                </c:pt>
                <c:pt idx="19">
                  <c:v>18.5</c:v>
                </c:pt>
                <c:pt idx="20">
                  <c:v>16.3</c:v>
                </c:pt>
                <c:pt idx="21">
                  <c:v>16.2</c:v>
                </c:pt>
                <c:pt idx="22">
                  <c:v>15.5</c:v>
                </c:pt>
                <c:pt idx="23">
                  <c:v>14.6</c:v>
                </c:pt>
                <c:pt idx="24">
                  <c:v>13</c:v>
                </c:pt>
                <c:pt idx="25">
                  <c:v>12.7</c:v>
                </c:pt>
                <c:pt idx="26">
                  <c:v>10.7</c:v>
                </c:pt>
                <c:pt idx="27">
                  <c:v>10.4</c:v>
                </c:pt>
                <c:pt idx="28">
                  <c:v>10.199999999999999</c:v>
                </c:pt>
                <c:pt idx="29">
                  <c:v>10</c:v>
                </c:pt>
                <c:pt idx="30">
                  <c:v>8.6</c:v>
                </c:pt>
                <c:pt idx="31">
                  <c:v>7.8</c:v>
                </c:pt>
                <c:pt idx="32">
                  <c:v>6.8</c:v>
                </c:pt>
                <c:pt idx="33">
                  <c:v>6.7</c:v>
                </c:pt>
                <c:pt idx="34">
                  <c:v>6.5</c:v>
                </c:pt>
                <c:pt idx="35">
                  <c:v>6.4</c:v>
                </c:pt>
                <c:pt idx="36">
                  <c:v>6.3</c:v>
                </c:pt>
                <c:pt idx="37">
                  <c:v>4.7</c:v>
                </c:pt>
                <c:pt idx="38">
                  <c:v>2.5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121260288"/>
        <c:axId val="121267328"/>
      </c:barChart>
      <c:catAx>
        <c:axId val="121260288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en-US"/>
          </a:p>
        </c:txPr>
        <c:crossAx val="121267328"/>
        <c:crosses val="autoZero"/>
        <c:auto val="1"/>
        <c:lblAlgn val="ctr"/>
        <c:lblOffset val="100"/>
        <c:noMultiLvlLbl val="0"/>
      </c:catAx>
      <c:valAx>
        <c:axId val="121267328"/>
        <c:scaling>
          <c:orientation val="minMax"/>
          <c:max val="55"/>
          <c:min val="0"/>
        </c:scaling>
        <c:delete val="0"/>
        <c:axPos val="l"/>
        <c:majorGridlines/>
        <c:numFmt formatCode="#,##0.0" sourceLinked="1"/>
        <c:majorTickMark val="out"/>
        <c:minorTickMark val="none"/>
        <c:tickLblPos val="nextTo"/>
        <c:crossAx val="121260288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sz="600"/>
      </a:pPr>
      <a:endParaRPr lang="en-US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Data!$CP$292</c:f>
              <c:strCache>
                <c:ptCount val="1"/>
                <c:pt idx="0">
                  <c:v>2015Q1</c:v>
                </c:pt>
              </c:strCache>
            </c:strRef>
          </c:tx>
          <c:invertIfNegative val="0"/>
          <c:dLbls>
            <c:numFmt formatCode="#,##0" sourceLinked="0"/>
            <c:txPr>
              <a:bodyPr/>
              <a:lstStyle/>
              <a:p>
                <a:pPr>
                  <a:defRPr sz="600"/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Data!$A$293:$A$331</c:f>
              <c:strCache>
                <c:ptCount val="39"/>
                <c:pt idx="0">
                  <c:v>Poland</c:v>
                </c:pt>
                <c:pt idx="1">
                  <c:v>Spain</c:v>
                </c:pt>
                <c:pt idx="2">
                  <c:v>Netherlands</c:v>
                </c:pt>
                <c:pt idx="3">
                  <c:v>Portugal</c:v>
                </c:pt>
                <c:pt idx="4">
                  <c:v>Croatia</c:v>
                </c:pt>
                <c:pt idx="5">
                  <c:v>Cyprus</c:v>
                </c:pt>
                <c:pt idx="6">
                  <c:v>Slovenia</c:v>
                </c:pt>
                <c:pt idx="7">
                  <c:v>Sweden</c:v>
                </c:pt>
                <c:pt idx="8">
                  <c:v>France</c:v>
                </c:pt>
                <c:pt idx="9">
                  <c:v>Euro area (17 countries)</c:v>
                </c:pt>
                <c:pt idx="10">
                  <c:v>Euro area (18 countries)</c:v>
                </c:pt>
                <c:pt idx="11">
                  <c:v>Euro area (19 countries)</c:v>
                </c:pt>
                <c:pt idx="12">
                  <c:v>EU (28 countries)</c:v>
                </c:pt>
                <c:pt idx="13">
                  <c:v>EU (27 countries)</c:v>
                </c:pt>
                <c:pt idx="14">
                  <c:v>Finland</c:v>
                </c:pt>
                <c:pt idx="15">
                  <c:v>EU (15 countries)</c:v>
                </c:pt>
                <c:pt idx="16">
                  <c:v>Switzerland</c:v>
                </c:pt>
                <c:pt idx="17">
                  <c:v>Germany</c:v>
                </c:pt>
                <c:pt idx="18">
                  <c:v>Italy</c:v>
                </c:pt>
                <c:pt idx="19">
                  <c:v>FYR of Macedonia</c:v>
                </c:pt>
                <c:pt idx="20">
                  <c:v>Greece</c:v>
                </c:pt>
                <c:pt idx="21">
                  <c:v>Turkey</c:v>
                </c:pt>
                <c:pt idx="22">
                  <c:v>Slovakia</c:v>
                </c:pt>
                <c:pt idx="23">
                  <c:v>Iceland</c:v>
                </c:pt>
                <c:pt idx="24">
                  <c:v>Czech Republic</c:v>
                </c:pt>
                <c:pt idx="25">
                  <c:v>Hungary</c:v>
                </c:pt>
                <c:pt idx="26">
                  <c:v>Belgium</c:v>
                </c:pt>
                <c:pt idx="27">
                  <c:v>Luxembourg</c:v>
                </c:pt>
                <c:pt idx="28">
                  <c:v>Austria</c:v>
                </c:pt>
                <c:pt idx="29">
                  <c:v>Ireland</c:v>
                </c:pt>
                <c:pt idx="30">
                  <c:v>Denmark</c:v>
                </c:pt>
                <c:pt idx="31">
                  <c:v>Norway</c:v>
                </c:pt>
                <c:pt idx="32">
                  <c:v>Malta</c:v>
                </c:pt>
                <c:pt idx="33">
                  <c:v>United Kingdom</c:v>
                </c:pt>
                <c:pt idx="34">
                  <c:v>Bulgaria</c:v>
                </c:pt>
                <c:pt idx="35">
                  <c:v>Latvia</c:v>
                </c:pt>
                <c:pt idx="36">
                  <c:v>Estonia</c:v>
                </c:pt>
                <c:pt idx="37">
                  <c:v>Lithuania</c:v>
                </c:pt>
                <c:pt idx="38">
                  <c:v>Romania</c:v>
                </c:pt>
              </c:strCache>
            </c:strRef>
          </c:cat>
          <c:val>
            <c:numRef>
              <c:f>Data!$CP$293:$CP$331</c:f>
              <c:numCache>
                <c:formatCode>#,##0.0</c:formatCode>
                <c:ptCount val="39"/>
                <c:pt idx="0">
                  <c:v>28</c:v>
                </c:pt>
                <c:pt idx="1">
                  <c:v>23.6</c:v>
                </c:pt>
                <c:pt idx="2">
                  <c:v>21.2</c:v>
                </c:pt>
                <c:pt idx="3">
                  <c:v>21.2</c:v>
                </c:pt>
                <c:pt idx="4">
                  <c:v>18.3</c:v>
                </c:pt>
                <c:pt idx="5">
                  <c:v>17.100000000000001</c:v>
                </c:pt>
                <c:pt idx="6">
                  <c:v>16.399999999999999</c:v>
                </c:pt>
                <c:pt idx="7">
                  <c:v>16.100000000000001</c:v>
                </c:pt>
                <c:pt idx="8">
                  <c:v>15.5</c:v>
                </c:pt>
                <c:pt idx="9">
                  <c:v>15.1</c:v>
                </c:pt>
                <c:pt idx="10">
                  <c:v>15</c:v>
                </c:pt>
                <c:pt idx="11">
                  <c:v>14.9</c:v>
                </c:pt>
                <c:pt idx="12">
                  <c:v>13.7</c:v>
                </c:pt>
                <c:pt idx="13">
                  <c:v>13.7</c:v>
                </c:pt>
                <c:pt idx="14">
                  <c:v>13.7</c:v>
                </c:pt>
                <c:pt idx="15">
                  <c:v>13.5</c:v>
                </c:pt>
                <c:pt idx="16">
                  <c:v>13.4</c:v>
                </c:pt>
                <c:pt idx="17">
                  <c:v>13.1</c:v>
                </c:pt>
                <c:pt idx="18">
                  <c:v>12.9</c:v>
                </c:pt>
                <c:pt idx="19">
                  <c:v>12.6</c:v>
                </c:pt>
                <c:pt idx="20">
                  <c:v>10.8</c:v>
                </c:pt>
                <c:pt idx="21">
                  <c:v>10.6</c:v>
                </c:pt>
                <c:pt idx="22">
                  <c:v>10.1</c:v>
                </c:pt>
                <c:pt idx="23">
                  <c:v>10.1</c:v>
                </c:pt>
                <c:pt idx="24">
                  <c:v>10</c:v>
                </c:pt>
                <c:pt idx="25">
                  <c:v>10</c:v>
                </c:pt>
                <c:pt idx="26">
                  <c:v>9.3000000000000007</c:v>
                </c:pt>
                <c:pt idx="27">
                  <c:v>8.8000000000000007</c:v>
                </c:pt>
                <c:pt idx="28">
                  <c:v>8.8000000000000007</c:v>
                </c:pt>
                <c:pt idx="29">
                  <c:v>8.5</c:v>
                </c:pt>
                <c:pt idx="30">
                  <c:v>7.9</c:v>
                </c:pt>
                <c:pt idx="31">
                  <c:v>7.3</c:v>
                </c:pt>
                <c:pt idx="32">
                  <c:v>7</c:v>
                </c:pt>
                <c:pt idx="33">
                  <c:v>6.2</c:v>
                </c:pt>
                <c:pt idx="34">
                  <c:v>3.7</c:v>
                </c:pt>
                <c:pt idx="35">
                  <c:v>2.9</c:v>
                </c:pt>
                <c:pt idx="36">
                  <c:v>2.5</c:v>
                </c:pt>
                <c:pt idx="37">
                  <c:v>1.5</c:v>
                </c:pt>
                <c:pt idx="38">
                  <c:v>1.4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121277824"/>
        <c:axId val="121329920"/>
      </c:barChart>
      <c:catAx>
        <c:axId val="121277824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en-US"/>
          </a:p>
        </c:txPr>
        <c:crossAx val="121329920"/>
        <c:crosses val="autoZero"/>
        <c:auto val="1"/>
        <c:lblAlgn val="ctr"/>
        <c:lblOffset val="100"/>
        <c:noMultiLvlLbl val="0"/>
      </c:catAx>
      <c:valAx>
        <c:axId val="121329920"/>
        <c:scaling>
          <c:orientation val="minMax"/>
        </c:scaling>
        <c:delete val="0"/>
        <c:axPos val="l"/>
        <c:majorGridlines/>
        <c:numFmt formatCode="#,##0.0" sourceLinked="1"/>
        <c:majorTickMark val="out"/>
        <c:minorTickMark val="none"/>
        <c:tickLblPos val="nextTo"/>
        <c:txPr>
          <a:bodyPr/>
          <a:lstStyle/>
          <a:p>
            <a:pPr>
              <a:defRPr sz="600"/>
            </a:pPr>
            <a:endParaRPr lang="en-US"/>
          </a:p>
        </c:txPr>
        <c:crossAx val="12127782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Data!$CS$245</c:f>
              <c:strCache>
                <c:ptCount val="1"/>
                <c:pt idx="0">
                  <c:v>Part-time workers employment rate</c:v>
                </c:pt>
              </c:strCache>
            </c:strRef>
          </c:tx>
          <c:invertIfNegative val="0"/>
          <c:dPt>
            <c:idx val="35"/>
            <c:invertIfNegative val="0"/>
            <c:bubble3D val="0"/>
            <c:spPr>
              <a:solidFill>
                <a:srgbClr val="C00000"/>
              </a:solidFill>
            </c:spPr>
          </c:dPt>
          <c:cat>
            <c:strRef>
              <c:f>Data!$A$246:$A$284</c:f>
              <c:strCache>
                <c:ptCount val="39"/>
                <c:pt idx="0">
                  <c:v>Netherlands</c:v>
                </c:pt>
                <c:pt idx="1">
                  <c:v>Switzerland</c:v>
                </c:pt>
                <c:pt idx="2">
                  <c:v>Iceland</c:v>
                </c:pt>
                <c:pt idx="3">
                  <c:v>Germany</c:v>
                </c:pt>
                <c:pt idx="4">
                  <c:v>Norway</c:v>
                </c:pt>
                <c:pt idx="5">
                  <c:v>Sweden</c:v>
                </c:pt>
                <c:pt idx="6">
                  <c:v>Austria</c:v>
                </c:pt>
                <c:pt idx="7">
                  <c:v>United Kingdom</c:v>
                </c:pt>
                <c:pt idx="8">
                  <c:v>Denmark</c:v>
                </c:pt>
                <c:pt idx="9">
                  <c:v>Belgium</c:v>
                </c:pt>
                <c:pt idx="10">
                  <c:v>EU (15 countries)</c:v>
                </c:pt>
                <c:pt idx="11">
                  <c:v>Euro area (17 countries)</c:v>
                </c:pt>
                <c:pt idx="12">
                  <c:v>Euro area (18 countries)</c:v>
                </c:pt>
                <c:pt idx="13">
                  <c:v>Ireland</c:v>
                </c:pt>
                <c:pt idx="14">
                  <c:v>Euro area (19 countries)</c:v>
                </c:pt>
                <c:pt idx="15">
                  <c:v>EU (27 countries)</c:v>
                </c:pt>
                <c:pt idx="16">
                  <c:v>EU (28 countries)</c:v>
                </c:pt>
                <c:pt idx="17">
                  <c:v>Luxembourg</c:v>
                </c:pt>
                <c:pt idx="18">
                  <c:v>France</c:v>
                </c:pt>
                <c:pt idx="19">
                  <c:v>Finland</c:v>
                </c:pt>
                <c:pt idx="20">
                  <c:v>Italy</c:v>
                </c:pt>
                <c:pt idx="21">
                  <c:v>Malta</c:v>
                </c:pt>
                <c:pt idx="22">
                  <c:v>Spain</c:v>
                </c:pt>
                <c:pt idx="23">
                  <c:v>Cyprus</c:v>
                </c:pt>
                <c:pt idx="24">
                  <c:v>Portugal</c:v>
                </c:pt>
                <c:pt idx="25">
                  <c:v>Estonia</c:v>
                </c:pt>
                <c:pt idx="26">
                  <c:v>Slovenia</c:v>
                </c:pt>
                <c:pt idx="27">
                  <c:v>Turkey</c:v>
                </c:pt>
                <c:pt idx="28">
                  <c:v>Romania</c:v>
                </c:pt>
                <c:pt idx="29">
                  <c:v>Lithuania</c:v>
                </c:pt>
                <c:pt idx="30">
                  <c:v>Greece</c:v>
                </c:pt>
                <c:pt idx="31">
                  <c:v>Poland</c:v>
                </c:pt>
                <c:pt idx="32">
                  <c:v>Latvia</c:v>
                </c:pt>
                <c:pt idx="33">
                  <c:v>Czech Republic</c:v>
                </c:pt>
                <c:pt idx="34">
                  <c:v>Hungary</c:v>
                </c:pt>
                <c:pt idx="35">
                  <c:v>Slovakia</c:v>
                </c:pt>
                <c:pt idx="36">
                  <c:v>Croatia</c:v>
                </c:pt>
                <c:pt idx="37">
                  <c:v>FYR of Macedonia</c:v>
                </c:pt>
                <c:pt idx="38">
                  <c:v>Bulgaria</c:v>
                </c:pt>
              </c:strCache>
            </c:strRef>
          </c:cat>
          <c:val>
            <c:numRef>
              <c:f>Data!$CS$246:$CS$284</c:f>
              <c:numCache>
                <c:formatCode>0.0</c:formatCode>
                <c:ptCount val="39"/>
                <c:pt idx="0">
                  <c:v>38.683999999999997</c:v>
                </c:pt>
                <c:pt idx="1">
                  <c:v>32.082300000000004</c:v>
                </c:pt>
                <c:pt idx="2">
                  <c:v>22.684000000000001</c:v>
                </c:pt>
                <c:pt idx="3">
                  <c:v>21.728000000000002</c:v>
                </c:pt>
                <c:pt idx="4">
                  <c:v>21.354800000000001</c:v>
                </c:pt>
                <c:pt idx="5">
                  <c:v>21.146400000000003</c:v>
                </c:pt>
                <c:pt idx="6">
                  <c:v>20.992400000000004</c:v>
                </c:pt>
                <c:pt idx="7">
                  <c:v>20.578499999999998</c:v>
                </c:pt>
                <c:pt idx="8">
                  <c:v>19.734000000000002</c:v>
                </c:pt>
                <c:pt idx="9">
                  <c:v>17.052200000000003</c:v>
                </c:pt>
                <c:pt idx="10">
                  <c:v>16.751999999999999</c:v>
                </c:pt>
                <c:pt idx="11">
                  <c:v>15.5268</c:v>
                </c:pt>
                <c:pt idx="12">
                  <c:v>15.458699999999997</c:v>
                </c:pt>
                <c:pt idx="13">
                  <c:v>15.435600000000001</c:v>
                </c:pt>
                <c:pt idx="14">
                  <c:v>15.390599999999999</c:v>
                </c:pt>
                <c:pt idx="15">
                  <c:v>14.414400000000001</c:v>
                </c:pt>
                <c:pt idx="16">
                  <c:v>14.324400000000001</c:v>
                </c:pt>
                <c:pt idx="17">
                  <c:v>13.3668</c:v>
                </c:pt>
                <c:pt idx="18">
                  <c:v>13.167</c:v>
                </c:pt>
                <c:pt idx="19">
                  <c:v>11.631600000000001</c:v>
                </c:pt>
                <c:pt idx="20">
                  <c:v>11.044500000000001</c:v>
                </c:pt>
                <c:pt idx="21">
                  <c:v>10.2455</c:v>
                </c:pt>
                <c:pt idx="22">
                  <c:v>9.8614999999999995</c:v>
                </c:pt>
                <c:pt idx="23">
                  <c:v>9.8111999999999995</c:v>
                </c:pt>
                <c:pt idx="24">
                  <c:v>8.8270000000000017</c:v>
                </c:pt>
                <c:pt idx="25">
                  <c:v>7.7376000000000014</c:v>
                </c:pt>
                <c:pt idx="26">
                  <c:v>7.2225000000000001</c:v>
                </c:pt>
                <c:pt idx="27">
                  <c:v>6.6421000000000001</c:v>
                </c:pt>
                <c:pt idx="28">
                  <c:v>6.4973999999999998</c:v>
                </c:pt>
                <c:pt idx="29">
                  <c:v>6.2092000000000001</c:v>
                </c:pt>
                <c:pt idx="30">
                  <c:v>5.3100000000000005</c:v>
                </c:pt>
                <c:pt idx="31">
                  <c:v>5.2026000000000003</c:v>
                </c:pt>
                <c:pt idx="32">
                  <c:v>4.7905000000000006</c:v>
                </c:pt>
                <c:pt idx="33">
                  <c:v>4.6619999999999999</c:v>
                </c:pt>
                <c:pt idx="34">
                  <c:v>4.3745000000000003</c:v>
                </c:pt>
                <c:pt idx="35">
                  <c:v>4.2751999999999999</c:v>
                </c:pt>
                <c:pt idx="36">
                  <c:v>3.9780000000000002</c:v>
                </c:pt>
                <c:pt idx="37">
                  <c:v>2.4157999999999999</c:v>
                </c:pt>
                <c:pt idx="38">
                  <c:v>1.625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1455744"/>
        <c:axId val="121457280"/>
      </c:barChart>
      <c:barChart>
        <c:barDir val="col"/>
        <c:grouping val="clustered"/>
        <c:varyColors val="0"/>
        <c:ser>
          <c:idx val="1"/>
          <c:order val="1"/>
          <c:tx>
            <c:strRef>
              <c:f>Data!$CR$243</c:f>
              <c:strCache>
                <c:ptCount val="1"/>
                <c:pt idx="0">
                  <c:v>Total employment rate (20-64 years)</c:v>
                </c:pt>
              </c:strCache>
            </c:strRef>
          </c:tx>
          <c:spPr>
            <a:noFill/>
            <a:ln>
              <a:solidFill>
                <a:srgbClr val="0070C0"/>
              </a:solidFill>
            </a:ln>
          </c:spPr>
          <c:invertIfNegative val="0"/>
          <c:dPt>
            <c:idx val="35"/>
            <c:invertIfNegative val="0"/>
            <c:bubble3D val="0"/>
            <c:spPr>
              <a:noFill/>
              <a:ln>
                <a:solidFill>
                  <a:srgbClr val="C00000"/>
                </a:solidFill>
              </a:ln>
            </c:spPr>
          </c:dPt>
          <c:trendline>
            <c:trendlineType val="linear"/>
            <c:dispRSqr val="0"/>
            <c:dispEq val="0"/>
          </c:trendline>
          <c:cat>
            <c:strRef>
              <c:f>Data!$A$246:$A$284</c:f>
              <c:strCache>
                <c:ptCount val="39"/>
                <c:pt idx="0">
                  <c:v>Netherlands</c:v>
                </c:pt>
                <c:pt idx="1">
                  <c:v>Switzerland</c:v>
                </c:pt>
                <c:pt idx="2">
                  <c:v>Iceland</c:v>
                </c:pt>
                <c:pt idx="3">
                  <c:v>Germany</c:v>
                </c:pt>
                <c:pt idx="4">
                  <c:v>Norway</c:v>
                </c:pt>
                <c:pt idx="5">
                  <c:v>Sweden</c:v>
                </c:pt>
                <c:pt idx="6">
                  <c:v>Austria</c:v>
                </c:pt>
                <c:pt idx="7">
                  <c:v>United Kingdom</c:v>
                </c:pt>
                <c:pt idx="8">
                  <c:v>Denmark</c:v>
                </c:pt>
                <c:pt idx="9">
                  <c:v>Belgium</c:v>
                </c:pt>
                <c:pt idx="10">
                  <c:v>EU (15 countries)</c:v>
                </c:pt>
                <c:pt idx="11">
                  <c:v>Euro area (17 countries)</c:v>
                </c:pt>
                <c:pt idx="12">
                  <c:v>Euro area (18 countries)</c:v>
                </c:pt>
                <c:pt idx="13">
                  <c:v>Ireland</c:v>
                </c:pt>
                <c:pt idx="14">
                  <c:v>Euro area (19 countries)</c:v>
                </c:pt>
                <c:pt idx="15">
                  <c:v>EU (27 countries)</c:v>
                </c:pt>
                <c:pt idx="16">
                  <c:v>EU (28 countries)</c:v>
                </c:pt>
                <c:pt idx="17">
                  <c:v>Luxembourg</c:v>
                </c:pt>
                <c:pt idx="18">
                  <c:v>France</c:v>
                </c:pt>
                <c:pt idx="19">
                  <c:v>Finland</c:v>
                </c:pt>
                <c:pt idx="20">
                  <c:v>Italy</c:v>
                </c:pt>
                <c:pt idx="21">
                  <c:v>Malta</c:v>
                </c:pt>
                <c:pt idx="22">
                  <c:v>Spain</c:v>
                </c:pt>
                <c:pt idx="23">
                  <c:v>Cyprus</c:v>
                </c:pt>
                <c:pt idx="24">
                  <c:v>Portugal</c:v>
                </c:pt>
                <c:pt idx="25">
                  <c:v>Estonia</c:v>
                </c:pt>
                <c:pt idx="26">
                  <c:v>Slovenia</c:v>
                </c:pt>
                <c:pt idx="27">
                  <c:v>Turkey</c:v>
                </c:pt>
                <c:pt idx="28">
                  <c:v>Romania</c:v>
                </c:pt>
                <c:pt idx="29">
                  <c:v>Lithuania</c:v>
                </c:pt>
                <c:pt idx="30">
                  <c:v>Greece</c:v>
                </c:pt>
                <c:pt idx="31">
                  <c:v>Poland</c:v>
                </c:pt>
                <c:pt idx="32">
                  <c:v>Latvia</c:v>
                </c:pt>
                <c:pt idx="33">
                  <c:v>Czech Republic</c:v>
                </c:pt>
                <c:pt idx="34">
                  <c:v>Hungary</c:v>
                </c:pt>
                <c:pt idx="35">
                  <c:v>Slovakia</c:v>
                </c:pt>
                <c:pt idx="36">
                  <c:v>Croatia</c:v>
                </c:pt>
                <c:pt idx="37">
                  <c:v>FYR of Macedonia</c:v>
                </c:pt>
                <c:pt idx="38">
                  <c:v>Bulgaria</c:v>
                </c:pt>
              </c:strCache>
            </c:strRef>
          </c:cat>
          <c:val>
            <c:numRef>
              <c:f>Data!$CR$246:$CR$284</c:f>
              <c:numCache>
                <c:formatCode>General</c:formatCode>
                <c:ptCount val="39"/>
                <c:pt idx="0">
                  <c:v>76</c:v>
                </c:pt>
                <c:pt idx="1">
                  <c:v>82.9</c:v>
                </c:pt>
                <c:pt idx="2">
                  <c:v>85.6</c:v>
                </c:pt>
                <c:pt idx="3">
                  <c:v>77.599999999999994</c:v>
                </c:pt>
                <c:pt idx="4">
                  <c:v>78.8</c:v>
                </c:pt>
                <c:pt idx="5">
                  <c:v>79.2</c:v>
                </c:pt>
                <c:pt idx="6">
                  <c:v>73.400000000000006</c:v>
                </c:pt>
                <c:pt idx="7">
                  <c:v>76.5</c:v>
                </c:pt>
                <c:pt idx="8">
                  <c:v>75.900000000000006</c:v>
                </c:pt>
                <c:pt idx="9">
                  <c:v>67.400000000000006</c:v>
                </c:pt>
                <c:pt idx="10">
                  <c:v>69.8</c:v>
                </c:pt>
                <c:pt idx="11">
                  <c:v>68.099999999999994</c:v>
                </c:pt>
                <c:pt idx="12">
                  <c:v>68.099999999999994</c:v>
                </c:pt>
                <c:pt idx="13">
                  <c:v>67.7</c:v>
                </c:pt>
                <c:pt idx="14">
                  <c:v>68.099999999999994</c:v>
                </c:pt>
                <c:pt idx="15">
                  <c:v>69.3</c:v>
                </c:pt>
                <c:pt idx="16">
                  <c:v>69.2</c:v>
                </c:pt>
                <c:pt idx="17">
                  <c:v>71.099999999999994</c:v>
                </c:pt>
                <c:pt idx="18">
                  <c:v>69.3</c:v>
                </c:pt>
                <c:pt idx="19">
                  <c:v>71.8</c:v>
                </c:pt>
                <c:pt idx="20">
                  <c:v>59.7</c:v>
                </c:pt>
                <c:pt idx="21">
                  <c:v>66.099999999999994</c:v>
                </c:pt>
                <c:pt idx="22">
                  <c:v>60.5</c:v>
                </c:pt>
                <c:pt idx="23">
                  <c:v>67.2</c:v>
                </c:pt>
                <c:pt idx="24">
                  <c:v>67.900000000000006</c:v>
                </c:pt>
                <c:pt idx="25">
                  <c:v>74.400000000000006</c:v>
                </c:pt>
                <c:pt idx="26">
                  <c:v>67.5</c:v>
                </c:pt>
                <c:pt idx="27">
                  <c:v>52.3</c:v>
                </c:pt>
                <c:pt idx="28">
                  <c:v>63.7</c:v>
                </c:pt>
                <c:pt idx="29">
                  <c:v>72.2</c:v>
                </c:pt>
                <c:pt idx="30">
                  <c:v>53.1</c:v>
                </c:pt>
                <c:pt idx="31">
                  <c:v>66.7</c:v>
                </c:pt>
                <c:pt idx="32">
                  <c:v>71.5</c:v>
                </c:pt>
                <c:pt idx="33">
                  <c:v>74</c:v>
                </c:pt>
                <c:pt idx="34">
                  <c:v>67.3</c:v>
                </c:pt>
                <c:pt idx="35">
                  <c:v>66.8</c:v>
                </c:pt>
                <c:pt idx="36">
                  <c:v>58.5</c:v>
                </c:pt>
                <c:pt idx="37">
                  <c:v>51.4</c:v>
                </c:pt>
                <c:pt idx="38">
                  <c:v>65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1493376"/>
        <c:axId val="121491840"/>
      </c:barChart>
      <c:catAx>
        <c:axId val="121455744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en-US"/>
          </a:p>
        </c:txPr>
        <c:crossAx val="121457280"/>
        <c:crosses val="autoZero"/>
        <c:auto val="1"/>
        <c:lblAlgn val="ctr"/>
        <c:lblOffset val="100"/>
        <c:noMultiLvlLbl val="0"/>
      </c:catAx>
      <c:valAx>
        <c:axId val="121457280"/>
        <c:scaling>
          <c:orientation val="minMax"/>
          <c:max val="90"/>
        </c:scaling>
        <c:delete val="0"/>
        <c:axPos val="l"/>
        <c:majorGridlines/>
        <c:numFmt formatCode="0" sourceLinked="0"/>
        <c:majorTickMark val="out"/>
        <c:minorTickMark val="none"/>
        <c:tickLblPos val="nextTo"/>
        <c:txPr>
          <a:bodyPr/>
          <a:lstStyle/>
          <a:p>
            <a:pPr>
              <a:defRPr sz="600"/>
            </a:pPr>
            <a:endParaRPr lang="en-US"/>
          </a:p>
        </c:txPr>
        <c:crossAx val="121455744"/>
        <c:crosses val="autoZero"/>
        <c:crossBetween val="between"/>
      </c:valAx>
      <c:valAx>
        <c:axId val="121491840"/>
        <c:scaling>
          <c:orientation val="minMax"/>
        </c:scaling>
        <c:delete val="0"/>
        <c:axPos val="r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600"/>
            </a:pPr>
            <a:endParaRPr lang="en-US"/>
          </a:p>
        </c:txPr>
        <c:crossAx val="121493376"/>
        <c:crosses val="max"/>
        <c:crossBetween val="between"/>
      </c:valAx>
      <c:catAx>
        <c:axId val="121493376"/>
        <c:scaling>
          <c:orientation val="minMax"/>
        </c:scaling>
        <c:delete val="1"/>
        <c:axPos val="b"/>
        <c:majorTickMark val="out"/>
        <c:minorTickMark val="none"/>
        <c:tickLblPos val="nextTo"/>
        <c:crossAx val="121491840"/>
        <c:crosses val="autoZero"/>
        <c:auto val="1"/>
        <c:lblAlgn val="ctr"/>
        <c:lblOffset val="100"/>
        <c:noMultiLvlLbl val="0"/>
      </c:catAx>
    </c:plotArea>
    <c:legend>
      <c:legendPos val="b"/>
      <c:legendEntry>
        <c:idx val="0"/>
        <c:txPr>
          <a:bodyPr/>
          <a:lstStyle/>
          <a:p>
            <a:pPr>
              <a:defRPr sz="800"/>
            </a:pPr>
            <a:endParaRPr lang="en-US"/>
          </a:p>
        </c:txPr>
      </c:legendEntry>
      <c:legendEntry>
        <c:idx val="1"/>
        <c:txPr>
          <a:bodyPr/>
          <a:lstStyle/>
          <a:p>
            <a:pPr>
              <a:defRPr sz="800"/>
            </a:pPr>
            <a:endParaRPr lang="en-US"/>
          </a:p>
        </c:txPr>
      </c:legendEntry>
      <c:legendEntry>
        <c:idx val="2"/>
        <c:delete val="1"/>
      </c:legendEntry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Data!$B$244</c:f>
              <c:strCache>
                <c:ptCount val="1"/>
                <c:pt idx="0">
                  <c:v>Part-time workers employment rate</c:v>
                </c:pt>
              </c:strCache>
            </c:strRef>
          </c:tx>
          <c:spPr>
            <a:ln>
              <a:solidFill>
                <a:srgbClr val="0070C0"/>
              </a:solidFill>
            </a:ln>
          </c:spPr>
          <c:invertIfNegative val="0"/>
          <c:cat>
            <c:strRef>
              <c:f>Data!$AH$245:$CP$245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Data!$AH$285:$CP$285</c:f>
              <c:numCache>
                <c:formatCode>0.0</c:formatCode>
                <c:ptCount val="61"/>
                <c:pt idx="0">
                  <c:v>0</c:v>
                </c:pt>
                <c:pt idx="1">
                  <c:v>13.3278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14.047600000000001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14.352000000000002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14.8428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15.3424</c:v>
                </c:pt>
                <c:pt idx="18">
                  <c:v>0</c:v>
                </c:pt>
                <c:pt idx="19">
                  <c:v>0</c:v>
                </c:pt>
                <c:pt idx="20">
                  <c:v>16.718399999999999</c:v>
                </c:pt>
                <c:pt idx="21">
                  <c:v>16.7013</c:v>
                </c:pt>
                <c:pt idx="22">
                  <c:v>16.3795</c:v>
                </c:pt>
                <c:pt idx="23">
                  <c:v>16.797700000000003</c:v>
                </c:pt>
                <c:pt idx="24">
                  <c:v>18.48</c:v>
                </c:pt>
                <c:pt idx="25">
                  <c:v>18.486000000000001</c:v>
                </c:pt>
                <c:pt idx="26">
                  <c:v>18.380800000000001</c:v>
                </c:pt>
                <c:pt idx="27">
                  <c:v>18.2118</c:v>
                </c:pt>
                <c:pt idx="28">
                  <c:v>19.152000000000001</c:v>
                </c:pt>
                <c:pt idx="29">
                  <c:v>19.172700000000003</c:v>
                </c:pt>
                <c:pt idx="30">
                  <c:v>18.937200000000001</c:v>
                </c:pt>
                <c:pt idx="31">
                  <c:v>18.790400000000002</c:v>
                </c:pt>
                <c:pt idx="32">
                  <c:v>19.1052</c:v>
                </c:pt>
                <c:pt idx="33">
                  <c:v>19.3094</c:v>
                </c:pt>
                <c:pt idx="34">
                  <c:v>19.0976</c:v>
                </c:pt>
                <c:pt idx="35">
                  <c:v>18.972000000000001</c:v>
                </c:pt>
                <c:pt idx="36">
                  <c:v>18.988799999999998</c:v>
                </c:pt>
                <c:pt idx="37">
                  <c:v>19.414200000000001</c:v>
                </c:pt>
                <c:pt idx="38">
                  <c:v>19.388000000000002</c:v>
                </c:pt>
                <c:pt idx="39">
                  <c:v>19.448</c:v>
                </c:pt>
                <c:pt idx="40">
                  <c:v>19.414200000000001</c:v>
                </c:pt>
                <c:pt idx="41">
                  <c:v>19.773600000000002</c:v>
                </c:pt>
                <c:pt idx="42">
                  <c:v>19.7286</c:v>
                </c:pt>
                <c:pt idx="43">
                  <c:v>19.502700000000001</c:v>
                </c:pt>
                <c:pt idx="44">
                  <c:v>20.282599999999999</c:v>
                </c:pt>
                <c:pt idx="45">
                  <c:v>20.578499999999998</c:v>
                </c:pt>
                <c:pt idx="46">
                  <c:v>20.5824</c:v>
                </c:pt>
                <c:pt idx="47">
                  <c:v>20.4315</c:v>
                </c:pt>
                <c:pt idx="48">
                  <c:v>20.547000000000001</c:v>
                </c:pt>
                <c:pt idx="49">
                  <c:v>20.6861</c:v>
                </c:pt>
                <c:pt idx="50">
                  <c:v>20.612400000000001</c:v>
                </c:pt>
                <c:pt idx="51">
                  <c:v>20.612400000000001</c:v>
                </c:pt>
                <c:pt idx="52">
                  <c:v>21.1416</c:v>
                </c:pt>
                <c:pt idx="53">
                  <c:v>21.5946</c:v>
                </c:pt>
                <c:pt idx="54">
                  <c:v>21.495199999999997</c:v>
                </c:pt>
                <c:pt idx="55">
                  <c:v>21.34</c:v>
                </c:pt>
                <c:pt idx="56">
                  <c:v>21.356699999999996</c:v>
                </c:pt>
                <c:pt idx="57">
                  <c:v>21.600600000000004</c:v>
                </c:pt>
                <c:pt idx="58">
                  <c:v>21.633699999999997</c:v>
                </c:pt>
                <c:pt idx="59">
                  <c:v>21.3446</c:v>
                </c:pt>
                <c:pt idx="60">
                  <c:v>21.728000000000002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1533568"/>
        <c:axId val="121535104"/>
      </c:barChart>
      <c:barChart>
        <c:barDir val="col"/>
        <c:grouping val="clustered"/>
        <c:varyColors val="0"/>
        <c:ser>
          <c:idx val="1"/>
          <c:order val="1"/>
          <c:tx>
            <c:strRef>
              <c:f>Data!$CR$243</c:f>
              <c:strCache>
                <c:ptCount val="1"/>
                <c:pt idx="0">
                  <c:v>Total employment rate (20-64 years)</c:v>
                </c:pt>
              </c:strCache>
            </c:strRef>
          </c:tx>
          <c:spPr>
            <a:noFill/>
            <a:ln w="9525">
              <a:solidFill>
                <a:srgbClr val="0070C0"/>
              </a:solidFill>
            </a:ln>
          </c:spPr>
          <c:invertIfNegative val="0"/>
          <c:dLbls>
            <c:numFmt formatCode="#,##0" sourceLinked="0"/>
            <c:txPr>
              <a:bodyPr/>
              <a:lstStyle/>
              <a:p>
                <a:pPr>
                  <a:defRPr sz="600"/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Data!$AH$169:$CP$169</c:f>
              <c:numCache>
                <c:formatCode>#,##0.0</c:formatCode>
                <c:ptCount val="61"/>
                <c:pt idx="0">
                  <c:v>67.8</c:v>
                </c:pt>
                <c:pt idx="1">
                  <c:v>68.7</c:v>
                </c:pt>
                <c:pt idx="2">
                  <c:v>69</c:v>
                </c:pt>
                <c:pt idx="3">
                  <c:v>69.599999999999994</c:v>
                </c:pt>
                <c:pt idx="4">
                  <c:v>68.400000000000006</c:v>
                </c:pt>
                <c:pt idx="5">
                  <c:v>69.2</c:v>
                </c:pt>
                <c:pt idx="6">
                  <c:v>69.2</c:v>
                </c:pt>
                <c:pt idx="7">
                  <c:v>69.5</c:v>
                </c:pt>
                <c:pt idx="8">
                  <c:v>68.099999999999994</c:v>
                </c:pt>
                <c:pt idx="9">
                  <c:v>69</c:v>
                </c:pt>
                <c:pt idx="10">
                  <c:v>68.900000000000006</c:v>
                </c:pt>
                <c:pt idx="11">
                  <c:v>69</c:v>
                </c:pt>
                <c:pt idx="12">
                  <c:v>67.599999999999994</c:v>
                </c:pt>
                <c:pt idx="13">
                  <c:v>68.400000000000006</c:v>
                </c:pt>
                <c:pt idx="14">
                  <c:v>68.5</c:v>
                </c:pt>
                <c:pt idx="15">
                  <c:v>68.900000000000006</c:v>
                </c:pt>
                <c:pt idx="16">
                  <c:v>67.599999999999994</c:v>
                </c:pt>
                <c:pt idx="17">
                  <c:v>68.8</c:v>
                </c:pt>
                <c:pt idx="18">
                  <c:v>69.099999999999994</c:v>
                </c:pt>
                <c:pt idx="19">
                  <c:v>69.599999999999994</c:v>
                </c:pt>
                <c:pt idx="20">
                  <c:v>68.8</c:v>
                </c:pt>
                <c:pt idx="21">
                  <c:v>69.3</c:v>
                </c:pt>
                <c:pt idx="22">
                  <c:v>69.7</c:v>
                </c:pt>
                <c:pt idx="23">
                  <c:v>69.7</c:v>
                </c:pt>
                <c:pt idx="24">
                  <c:v>70</c:v>
                </c:pt>
                <c:pt idx="25">
                  <c:v>71.099999999999994</c:v>
                </c:pt>
                <c:pt idx="26">
                  <c:v>71.8</c:v>
                </c:pt>
                <c:pt idx="27">
                  <c:v>71.7</c:v>
                </c:pt>
                <c:pt idx="28">
                  <c:v>72</c:v>
                </c:pt>
                <c:pt idx="29">
                  <c:v>72.900000000000006</c:v>
                </c:pt>
                <c:pt idx="30">
                  <c:v>73.400000000000006</c:v>
                </c:pt>
                <c:pt idx="31">
                  <c:v>73.400000000000006</c:v>
                </c:pt>
                <c:pt idx="32">
                  <c:v>73.2</c:v>
                </c:pt>
                <c:pt idx="33">
                  <c:v>73.7</c:v>
                </c:pt>
                <c:pt idx="34">
                  <c:v>74.599999999999994</c:v>
                </c:pt>
                <c:pt idx="35">
                  <c:v>74.400000000000006</c:v>
                </c:pt>
                <c:pt idx="36">
                  <c:v>73.599999999999994</c:v>
                </c:pt>
                <c:pt idx="37">
                  <c:v>74.099999999999994</c:v>
                </c:pt>
                <c:pt idx="38">
                  <c:v>74</c:v>
                </c:pt>
                <c:pt idx="39">
                  <c:v>74.8</c:v>
                </c:pt>
                <c:pt idx="40">
                  <c:v>74.099999999999994</c:v>
                </c:pt>
                <c:pt idx="41">
                  <c:v>74.900000000000006</c:v>
                </c:pt>
                <c:pt idx="42">
                  <c:v>75.3</c:v>
                </c:pt>
                <c:pt idx="43">
                  <c:v>75.3</c:v>
                </c:pt>
                <c:pt idx="44">
                  <c:v>75.400000000000006</c:v>
                </c:pt>
                <c:pt idx="45">
                  <c:v>76.5</c:v>
                </c:pt>
                <c:pt idx="46">
                  <c:v>76.8</c:v>
                </c:pt>
                <c:pt idx="47">
                  <c:v>77.099999999999994</c:v>
                </c:pt>
                <c:pt idx="48">
                  <c:v>76.099999999999994</c:v>
                </c:pt>
                <c:pt idx="49">
                  <c:v>76.900000000000006</c:v>
                </c:pt>
                <c:pt idx="50">
                  <c:v>77.2</c:v>
                </c:pt>
                <c:pt idx="51">
                  <c:v>77.2</c:v>
                </c:pt>
                <c:pt idx="52">
                  <c:v>76.599999999999994</c:v>
                </c:pt>
                <c:pt idx="53">
                  <c:v>77.400000000000006</c:v>
                </c:pt>
                <c:pt idx="54">
                  <c:v>77.599999999999994</c:v>
                </c:pt>
                <c:pt idx="55">
                  <c:v>77.599999999999994</c:v>
                </c:pt>
                <c:pt idx="56">
                  <c:v>77.099999999999994</c:v>
                </c:pt>
                <c:pt idx="57">
                  <c:v>77.7</c:v>
                </c:pt>
                <c:pt idx="58">
                  <c:v>78.099999999999994</c:v>
                </c:pt>
                <c:pt idx="59">
                  <c:v>77.900000000000006</c:v>
                </c:pt>
                <c:pt idx="60">
                  <c:v>77.599999999999994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1563008"/>
        <c:axId val="121561472"/>
      </c:barChart>
      <c:catAx>
        <c:axId val="121533568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en-US"/>
          </a:p>
        </c:txPr>
        <c:crossAx val="121535104"/>
        <c:crosses val="autoZero"/>
        <c:auto val="1"/>
        <c:lblAlgn val="ctr"/>
        <c:lblOffset val="100"/>
        <c:noMultiLvlLbl val="0"/>
      </c:catAx>
      <c:valAx>
        <c:axId val="121535104"/>
        <c:scaling>
          <c:orientation val="minMax"/>
          <c:max val="80"/>
          <c:min val="0"/>
        </c:scaling>
        <c:delete val="0"/>
        <c:axPos val="l"/>
        <c:majorGridlines/>
        <c:numFmt formatCode="0" sourceLinked="0"/>
        <c:majorTickMark val="out"/>
        <c:minorTickMark val="none"/>
        <c:tickLblPos val="nextTo"/>
        <c:txPr>
          <a:bodyPr/>
          <a:lstStyle/>
          <a:p>
            <a:pPr>
              <a:defRPr sz="600"/>
            </a:pPr>
            <a:endParaRPr lang="en-US"/>
          </a:p>
        </c:txPr>
        <c:crossAx val="121533568"/>
        <c:crosses val="autoZero"/>
        <c:crossBetween val="between"/>
      </c:valAx>
      <c:valAx>
        <c:axId val="121561472"/>
        <c:scaling>
          <c:orientation val="minMax"/>
          <c:max val="85"/>
          <c:min val="0"/>
        </c:scaling>
        <c:delete val="0"/>
        <c:axPos val="r"/>
        <c:numFmt formatCode="#,##0" sourceLinked="0"/>
        <c:majorTickMark val="out"/>
        <c:minorTickMark val="none"/>
        <c:tickLblPos val="nextTo"/>
        <c:txPr>
          <a:bodyPr/>
          <a:lstStyle/>
          <a:p>
            <a:pPr>
              <a:defRPr sz="600"/>
            </a:pPr>
            <a:endParaRPr lang="en-US"/>
          </a:p>
        </c:txPr>
        <c:crossAx val="121563008"/>
        <c:crosses val="max"/>
        <c:crossBetween val="between"/>
      </c:valAx>
      <c:catAx>
        <c:axId val="121563008"/>
        <c:scaling>
          <c:orientation val="minMax"/>
        </c:scaling>
        <c:delete val="1"/>
        <c:axPos val="b"/>
        <c:majorTickMark val="out"/>
        <c:minorTickMark val="none"/>
        <c:tickLblPos val="nextTo"/>
        <c:crossAx val="121561472"/>
        <c:crosses val="autoZero"/>
        <c:auto val="1"/>
        <c:lblAlgn val="ctr"/>
        <c:lblOffset val="100"/>
        <c:noMultiLvlLbl val="0"/>
      </c:catAx>
    </c:plotArea>
    <c:legend>
      <c:legendPos val="b"/>
      <c:overlay val="0"/>
      <c:txPr>
        <a:bodyPr/>
        <a:lstStyle/>
        <a:p>
          <a:pPr>
            <a:defRPr sz="800"/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3"/>
          <c:order val="0"/>
          <c:tx>
            <c:strRef>
              <c:f>'Pracujúci podľa postavenia'!$A$5</c:f>
              <c:strCache>
                <c:ptCount val="1"/>
                <c:pt idx="0">
                  <c:v>Zamestnanci vo verej. sektore</c:v>
                </c:pt>
              </c:strCache>
            </c:strRef>
          </c:tx>
          <c:invertIfNegative val="0"/>
          <c:cat>
            <c:strRef>
              <c:f>'Pracujúci podľa postavenia'!$Z$1:$CH$1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'Pracujúci podľa postavenia'!$Z$5:$CH$5</c:f>
              <c:numCache>
                <c:formatCode>General</c:formatCode>
                <c:ptCount val="61"/>
                <c:pt idx="0" formatCode="#,##0.00">
                  <c:v>1007.1</c:v>
                </c:pt>
                <c:pt idx="1">
                  <c:v>994.3</c:v>
                </c:pt>
                <c:pt idx="2" formatCode="#,##0.00">
                  <c:v>1007.1</c:v>
                </c:pt>
                <c:pt idx="3" formatCode="#,##0.00">
                  <c:v>1019</c:v>
                </c:pt>
                <c:pt idx="4">
                  <c:v>984.4</c:v>
                </c:pt>
                <c:pt idx="5">
                  <c:v>975.4</c:v>
                </c:pt>
                <c:pt idx="6">
                  <c:v>951.3</c:v>
                </c:pt>
                <c:pt idx="7">
                  <c:v>921.8</c:v>
                </c:pt>
                <c:pt idx="8">
                  <c:v>878.5</c:v>
                </c:pt>
                <c:pt idx="9">
                  <c:v>863.2</c:v>
                </c:pt>
                <c:pt idx="10">
                  <c:v>861.4</c:v>
                </c:pt>
                <c:pt idx="11">
                  <c:v>853.1</c:v>
                </c:pt>
                <c:pt idx="12">
                  <c:v>842.5</c:v>
                </c:pt>
                <c:pt idx="13">
                  <c:v>832.9</c:v>
                </c:pt>
                <c:pt idx="14">
                  <c:v>814.8</c:v>
                </c:pt>
                <c:pt idx="15">
                  <c:v>792.8</c:v>
                </c:pt>
                <c:pt idx="16">
                  <c:v>780.1</c:v>
                </c:pt>
                <c:pt idx="17">
                  <c:v>764.5</c:v>
                </c:pt>
                <c:pt idx="18">
                  <c:v>772.1</c:v>
                </c:pt>
                <c:pt idx="19">
                  <c:v>762.9</c:v>
                </c:pt>
                <c:pt idx="20">
                  <c:v>744.6</c:v>
                </c:pt>
                <c:pt idx="21">
                  <c:v>731.7</c:v>
                </c:pt>
                <c:pt idx="22">
                  <c:v>714.4</c:v>
                </c:pt>
                <c:pt idx="23">
                  <c:v>707.6</c:v>
                </c:pt>
                <c:pt idx="24">
                  <c:v>681.6</c:v>
                </c:pt>
                <c:pt idx="25">
                  <c:v>675.6</c:v>
                </c:pt>
                <c:pt idx="26">
                  <c:v>661.8</c:v>
                </c:pt>
                <c:pt idx="27">
                  <c:v>652.5</c:v>
                </c:pt>
                <c:pt idx="28">
                  <c:v>647</c:v>
                </c:pt>
                <c:pt idx="29">
                  <c:v>640.1</c:v>
                </c:pt>
                <c:pt idx="30">
                  <c:v>646.5</c:v>
                </c:pt>
                <c:pt idx="31">
                  <c:v>641.4</c:v>
                </c:pt>
                <c:pt idx="32">
                  <c:v>632.20000000000005</c:v>
                </c:pt>
                <c:pt idx="33">
                  <c:v>629.6</c:v>
                </c:pt>
                <c:pt idx="34">
                  <c:v>658.3</c:v>
                </c:pt>
                <c:pt idx="35">
                  <c:v>638.20000000000005</c:v>
                </c:pt>
                <c:pt idx="36">
                  <c:v>616.9</c:v>
                </c:pt>
                <c:pt idx="37">
                  <c:v>625.4</c:v>
                </c:pt>
                <c:pt idx="38">
                  <c:v>622.29999999999995</c:v>
                </c:pt>
                <c:pt idx="39">
                  <c:v>607.6</c:v>
                </c:pt>
                <c:pt idx="40">
                  <c:v>583.5</c:v>
                </c:pt>
                <c:pt idx="41">
                  <c:v>610.70000000000005</c:v>
                </c:pt>
                <c:pt idx="42">
                  <c:v>614.6</c:v>
                </c:pt>
                <c:pt idx="43">
                  <c:v>621.4</c:v>
                </c:pt>
                <c:pt idx="44">
                  <c:v>604.4</c:v>
                </c:pt>
                <c:pt idx="45">
                  <c:v>613.79999999999995</c:v>
                </c:pt>
                <c:pt idx="46">
                  <c:v>616.79999999999995</c:v>
                </c:pt>
                <c:pt idx="47">
                  <c:v>612.5</c:v>
                </c:pt>
                <c:pt idx="48">
                  <c:v>626.20000000000005</c:v>
                </c:pt>
                <c:pt idx="49">
                  <c:v>635.79999999999995</c:v>
                </c:pt>
                <c:pt idx="50">
                  <c:v>640.1</c:v>
                </c:pt>
                <c:pt idx="51">
                  <c:v>633.1</c:v>
                </c:pt>
                <c:pt idx="52">
                  <c:v>638.20000000000005</c:v>
                </c:pt>
                <c:pt idx="53">
                  <c:v>639.5</c:v>
                </c:pt>
                <c:pt idx="54">
                  <c:v>629.29999999999995</c:v>
                </c:pt>
                <c:pt idx="55">
                  <c:v>626</c:v>
                </c:pt>
                <c:pt idx="56">
                  <c:v>627.1</c:v>
                </c:pt>
                <c:pt idx="57">
                  <c:v>635.79999999999995</c:v>
                </c:pt>
                <c:pt idx="58">
                  <c:v>637.9</c:v>
                </c:pt>
                <c:pt idx="59">
                  <c:v>640.4</c:v>
                </c:pt>
                <c:pt idx="60">
                  <c:v>650.1</c:v>
                </c:pt>
              </c:numCache>
            </c:numRef>
          </c:val>
        </c:ser>
        <c:ser>
          <c:idx val="4"/>
          <c:order val="1"/>
          <c:tx>
            <c:strRef>
              <c:f>'Pracujúci podľa postavenia'!$A$6</c:f>
              <c:strCache>
                <c:ptCount val="1"/>
                <c:pt idx="0">
                  <c:v>Zamestnanci v súkrom. sektore</c:v>
                </c:pt>
              </c:strCache>
            </c:strRef>
          </c:tx>
          <c:invertIfNegative val="0"/>
          <c:cat>
            <c:strRef>
              <c:f>'Pracujúci podľa postavenia'!$Z$1:$CH$1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'Pracujúci podľa postavenia'!$Z$6:$CH$6</c:f>
              <c:numCache>
                <c:formatCode>General</c:formatCode>
                <c:ptCount val="61"/>
                <c:pt idx="0">
                  <c:v>921.4</c:v>
                </c:pt>
                <c:pt idx="1">
                  <c:v>921.9</c:v>
                </c:pt>
                <c:pt idx="2">
                  <c:v>924.4</c:v>
                </c:pt>
                <c:pt idx="3">
                  <c:v>928.8</c:v>
                </c:pt>
                <c:pt idx="4">
                  <c:v>938.2</c:v>
                </c:pt>
                <c:pt idx="5">
                  <c:v>960.3</c:v>
                </c:pt>
                <c:pt idx="6" formatCode="#,##0.00">
                  <c:v>1004.5</c:v>
                </c:pt>
                <c:pt idx="7" formatCode="#,##0.00">
                  <c:v>1037.7</c:v>
                </c:pt>
                <c:pt idx="8" formatCode="#,##0.00">
                  <c:v>1048.3</c:v>
                </c:pt>
                <c:pt idx="9" formatCode="#,##0.00">
                  <c:v>1070.5</c:v>
                </c:pt>
                <c:pt idx="10" formatCode="#,##0.00">
                  <c:v>1089.5</c:v>
                </c:pt>
                <c:pt idx="11" formatCode="#,##0.00">
                  <c:v>1099.2</c:v>
                </c:pt>
                <c:pt idx="12" formatCode="#,##0.00">
                  <c:v>1083.3</c:v>
                </c:pt>
                <c:pt idx="13" formatCode="#,##0.00">
                  <c:v>1125.5999999999999</c:v>
                </c:pt>
                <c:pt idx="14" formatCode="#,##0.00">
                  <c:v>1149.9000000000001</c:v>
                </c:pt>
                <c:pt idx="15" formatCode="#,##0.00">
                  <c:v>1148.8</c:v>
                </c:pt>
                <c:pt idx="16" formatCode="#,##0.00">
                  <c:v>1110.8</c:v>
                </c:pt>
                <c:pt idx="17" formatCode="#,##0.00">
                  <c:v>1122.0999999999999</c:v>
                </c:pt>
                <c:pt idx="18" formatCode="#,##0.00">
                  <c:v>1151</c:v>
                </c:pt>
                <c:pt idx="19">
                  <c:v>1153.3</c:v>
                </c:pt>
                <c:pt idx="20" formatCode="#,##0.00">
                  <c:v>1144.8</c:v>
                </c:pt>
                <c:pt idx="21" formatCode="#,##0.00">
                  <c:v>1176</c:v>
                </c:pt>
                <c:pt idx="22" formatCode="#,##0.00">
                  <c:v>1236.7</c:v>
                </c:pt>
                <c:pt idx="23" formatCode="#,##0.00">
                  <c:v>1260.5999999999999</c:v>
                </c:pt>
                <c:pt idx="24" formatCode="#,##0.00">
                  <c:v>1279.5999999999999</c:v>
                </c:pt>
                <c:pt idx="25" formatCode="#,##0.00">
                  <c:v>1320.3</c:v>
                </c:pt>
                <c:pt idx="26" formatCode="#,##0.00">
                  <c:v>1362.4</c:v>
                </c:pt>
                <c:pt idx="27" formatCode="#,##0.00">
                  <c:v>1376.7</c:v>
                </c:pt>
                <c:pt idx="28" formatCode="#,##0.00">
                  <c:v>1374.4</c:v>
                </c:pt>
                <c:pt idx="29" formatCode="#,##0.00">
                  <c:v>1390.7</c:v>
                </c:pt>
                <c:pt idx="30" formatCode="#,##0.00">
                  <c:v>1399.5</c:v>
                </c:pt>
                <c:pt idx="31" formatCode="#,##0.00">
                  <c:v>1434.7</c:v>
                </c:pt>
                <c:pt idx="32" formatCode="#,##0.00">
                  <c:v>1431</c:v>
                </c:pt>
                <c:pt idx="33" formatCode="#,##0.00">
                  <c:v>1445.7</c:v>
                </c:pt>
                <c:pt idx="34" formatCode="#,##0.00">
                  <c:v>1462.2</c:v>
                </c:pt>
                <c:pt idx="35" formatCode="#,##0.00">
                  <c:v>1479.3</c:v>
                </c:pt>
                <c:pt idx="36" formatCode="#,##0.00">
                  <c:v>1407.5</c:v>
                </c:pt>
                <c:pt idx="37" formatCode="#,##0.00">
                  <c:v>1378</c:v>
                </c:pt>
                <c:pt idx="38" formatCode="#,##0.00">
                  <c:v>1365.9</c:v>
                </c:pt>
                <c:pt idx="39" formatCode="#,##0.00">
                  <c:v>1355.2</c:v>
                </c:pt>
                <c:pt idx="40" formatCode="#,##0.00">
                  <c:v>1323.4</c:v>
                </c:pt>
                <c:pt idx="41" formatCode="#,##0.00">
                  <c:v>1333</c:v>
                </c:pt>
                <c:pt idx="42" formatCode="#,##0.00">
                  <c:v>1355.1</c:v>
                </c:pt>
                <c:pt idx="43" formatCode="#,##0.00">
                  <c:v>1346.6</c:v>
                </c:pt>
                <c:pt idx="44" formatCode="#,##0.00">
                  <c:v>1321</c:v>
                </c:pt>
                <c:pt idx="45" formatCode="#,##0.00">
                  <c:v>1341.9</c:v>
                </c:pt>
                <c:pt idx="46" formatCode="#,##0.00">
                  <c:v>1341.3</c:v>
                </c:pt>
                <c:pt idx="47" formatCode="#,##0.00">
                  <c:v>1333.8</c:v>
                </c:pt>
                <c:pt idx="48" formatCode="#,##0.00">
                  <c:v>1338.1</c:v>
                </c:pt>
                <c:pt idx="49" formatCode="#,##0.00">
                  <c:v>1335.9</c:v>
                </c:pt>
                <c:pt idx="50" formatCode="#,##0.00">
                  <c:v>1337.7</c:v>
                </c:pt>
                <c:pt idx="51" formatCode="#,##0.00">
                  <c:v>1328.5</c:v>
                </c:pt>
                <c:pt idx="52" formatCode="#,##0.00">
                  <c:v>1325.5</c:v>
                </c:pt>
                <c:pt idx="53" formatCode="#,##0.00">
                  <c:v>1326.9</c:v>
                </c:pt>
                <c:pt idx="54" formatCode="#,##0.00">
                  <c:v>1349</c:v>
                </c:pt>
                <c:pt idx="55" formatCode="#,##0.00">
                  <c:v>1333.7</c:v>
                </c:pt>
                <c:pt idx="56" formatCode="#,##0.00">
                  <c:v>1340.9</c:v>
                </c:pt>
                <c:pt idx="57" formatCode="#,##0.00">
                  <c:v>1356</c:v>
                </c:pt>
                <c:pt idx="58" formatCode="#,##0.00">
                  <c:v>1370.6</c:v>
                </c:pt>
                <c:pt idx="59" formatCode="#,##0.00">
                  <c:v>1388.4</c:v>
                </c:pt>
                <c:pt idx="60" formatCode="#,##0.00">
                  <c:v>1378.6</c:v>
                </c:pt>
              </c:numCache>
            </c:numRef>
          </c:val>
        </c:ser>
        <c:ser>
          <c:idx val="10"/>
          <c:order val="2"/>
          <c:tx>
            <c:strRef>
              <c:f>'Pracujúci podľa postavenia'!$A$12</c:f>
              <c:strCache>
                <c:ptCount val="1"/>
                <c:pt idx="0">
                  <c:v>Samozamestnaní spolu</c:v>
                </c:pt>
              </c:strCache>
            </c:strRef>
          </c:tx>
          <c:spPr>
            <a:solidFill>
              <a:srgbClr val="92D050"/>
            </a:solidFill>
          </c:spPr>
          <c:invertIfNegative val="0"/>
          <c:cat>
            <c:strRef>
              <c:f>'Pracujúci podľa postavenia'!$Z$1:$CH$1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'Pracujúci podľa postavenia'!$Z$12:$CH$12</c:f>
              <c:numCache>
                <c:formatCode>General</c:formatCode>
                <c:ptCount val="61"/>
                <c:pt idx="0">
                  <c:v>163.30000000000001</c:v>
                </c:pt>
                <c:pt idx="1">
                  <c:v>164.7</c:v>
                </c:pt>
                <c:pt idx="2">
                  <c:v>171.2</c:v>
                </c:pt>
                <c:pt idx="3">
                  <c:v>170.5</c:v>
                </c:pt>
                <c:pt idx="4">
                  <c:v>175.8</c:v>
                </c:pt>
                <c:pt idx="5">
                  <c:v>180.2</c:v>
                </c:pt>
                <c:pt idx="6">
                  <c:v>178.4</c:v>
                </c:pt>
                <c:pt idx="7">
                  <c:v>177.3</c:v>
                </c:pt>
                <c:pt idx="8">
                  <c:v>175</c:v>
                </c:pt>
                <c:pt idx="9">
                  <c:v>178</c:v>
                </c:pt>
                <c:pt idx="10">
                  <c:v>184.6</c:v>
                </c:pt>
                <c:pt idx="11">
                  <c:v>194.8</c:v>
                </c:pt>
                <c:pt idx="12">
                  <c:v>199.4</c:v>
                </c:pt>
                <c:pt idx="13">
                  <c:v>206</c:v>
                </c:pt>
                <c:pt idx="14">
                  <c:v>215.6</c:v>
                </c:pt>
                <c:pt idx="15">
                  <c:v>222.5</c:v>
                </c:pt>
                <c:pt idx="16">
                  <c:v>232.2</c:v>
                </c:pt>
                <c:pt idx="17">
                  <c:v>260.2</c:v>
                </c:pt>
                <c:pt idx="18">
                  <c:v>271.39999999999998</c:v>
                </c:pt>
                <c:pt idx="19">
                  <c:v>275.7</c:v>
                </c:pt>
                <c:pt idx="20">
                  <c:v>281.7</c:v>
                </c:pt>
                <c:pt idx="21">
                  <c:v>281.3</c:v>
                </c:pt>
                <c:pt idx="22">
                  <c:v>275.7</c:v>
                </c:pt>
                <c:pt idx="23">
                  <c:v>278.39999999999998</c:v>
                </c:pt>
                <c:pt idx="24">
                  <c:v>288.39999999999998</c:v>
                </c:pt>
                <c:pt idx="25">
                  <c:v>289.7</c:v>
                </c:pt>
                <c:pt idx="26">
                  <c:v>286.39999999999998</c:v>
                </c:pt>
                <c:pt idx="27">
                  <c:v>292.10000000000002</c:v>
                </c:pt>
                <c:pt idx="28">
                  <c:v>293.7</c:v>
                </c:pt>
                <c:pt idx="29">
                  <c:v>296.10000000000002</c:v>
                </c:pt>
                <c:pt idx="30">
                  <c:v>310.5</c:v>
                </c:pt>
                <c:pt idx="31">
                  <c:v>314.10000000000002</c:v>
                </c:pt>
                <c:pt idx="32">
                  <c:v>321.7</c:v>
                </c:pt>
                <c:pt idx="33">
                  <c:v>325.10000000000002</c:v>
                </c:pt>
                <c:pt idx="34">
                  <c:v>348.2</c:v>
                </c:pt>
                <c:pt idx="35">
                  <c:v>345.6</c:v>
                </c:pt>
                <c:pt idx="36">
                  <c:v>363.8</c:v>
                </c:pt>
                <c:pt idx="37">
                  <c:v>374.7</c:v>
                </c:pt>
                <c:pt idx="38">
                  <c:v>378.5</c:v>
                </c:pt>
                <c:pt idx="39">
                  <c:v>366.3</c:v>
                </c:pt>
                <c:pt idx="40">
                  <c:v>375.7</c:v>
                </c:pt>
                <c:pt idx="41">
                  <c:v>368.6</c:v>
                </c:pt>
                <c:pt idx="42">
                  <c:v>365</c:v>
                </c:pt>
                <c:pt idx="43">
                  <c:v>371.1</c:v>
                </c:pt>
                <c:pt idx="44">
                  <c:v>370.7</c:v>
                </c:pt>
                <c:pt idx="45">
                  <c:v>363.5</c:v>
                </c:pt>
                <c:pt idx="46">
                  <c:v>372.2</c:v>
                </c:pt>
                <c:pt idx="47">
                  <c:v>369.4</c:v>
                </c:pt>
                <c:pt idx="48">
                  <c:v>360.4</c:v>
                </c:pt>
                <c:pt idx="49">
                  <c:v>362.9</c:v>
                </c:pt>
                <c:pt idx="50">
                  <c:v>365.1</c:v>
                </c:pt>
                <c:pt idx="51">
                  <c:v>352.1</c:v>
                </c:pt>
                <c:pt idx="52">
                  <c:v>364</c:v>
                </c:pt>
                <c:pt idx="53">
                  <c:v>361.4</c:v>
                </c:pt>
                <c:pt idx="54">
                  <c:v>356.1</c:v>
                </c:pt>
                <c:pt idx="55">
                  <c:v>367.4</c:v>
                </c:pt>
                <c:pt idx="56">
                  <c:v>363.3</c:v>
                </c:pt>
                <c:pt idx="57">
                  <c:v>361.8</c:v>
                </c:pt>
                <c:pt idx="58">
                  <c:v>367.9</c:v>
                </c:pt>
                <c:pt idx="59">
                  <c:v>362.1</c:v>
                </c:pt>
                <c:pt idx="60">
                  <c:v>363.3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25058048"/>
        <c:axId val="125080320"/>
      </c:barChart>
      <c:catAx>
        <c:axId val="125058048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en-US"/>
          </a:p>
        </c:txPr>
        <c:crossAx val="125080320"/>
        <c:crosses val="autoZero"/>
        <c:auto val="1"/>
        <c:lblAlgn val="ctr"/>
        <c:lblOffset val="100"/>
        <c:noMultiLvlLbl val="0"/>
      </c:catAx>
      <c:valAx>
        <c:axId val="125080320"/>
        <c:scaling>
          <c:orientation val="minMax"/>
          <c:max val="2500"/>
        </c:scaling>
        <c:delete val="0"/>
        <c:axPos val="l"/>
        <c:majorGridlines/>
        <c:numFmt formatCode="#,##0.00" sourceLinked="1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en-US"/>
          </a:p>
        </c:txPr>
        <c:crossAx val="125058048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5.3328747757707087E-2"/>
          <c:y val="0.85628536274798206"/>
          <c:w val="0.90637626874735278"/>
          <c:h val="0.11051965927220646"/>
        </c:manualLayout>
      </c:layout>
      <c:overlay val="0"/>
      <c:txPr>
        <a:bodyPr/>
        <a:lstStyle/>
        <a:p>
          <a:pPr>
            <a:defRPr sz="800"/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'vyvoj poctu dohod podla rokov'!$D$5</c:f>
              <c:strCache>
                <c:ptCount val="1"/>
                <c:pt idx="0">
                  <c:v>v súbehu so zamestnaním alebo SZČO</c:v>
                </c:pt>
              </c:strCache>
            </c:strRef>
          </c:tx>
          <c:invertIfNegative val="0"/>
          <c:cat>
            <c:strRef>
              <c:f>'vyvoj poctu dohod podla rokov'!$C$6:$C$68</c:f>
              <c:strCache>
                <c:ptCount val="63"/>
                <c:pt idx="0">
                  <c:v>2010/1</c:v>
                </c:pt>
                <c:pt idx="1">
                  <c:v>2010/2</c:v>
                </c:pt>
                <c:pt idx="2">
                  <c:v>2010/3</c:v>
                </c:pt>
                <c:pt idx="3">
                  <c:v>2010/4</c:v>
                </c:pt>
                <c:pt idx="4">
                  <c:v>2010/5</c:v>
                </c:pt>
                <c:pt idx="5">
                  <c:v>2010/6</c:v>
                </c:pt>
                <c:pt idx="6">
                  <c:v>2010/7</c:v>
                </c:pt>
                <c:pt idx="7">
                  <c:v>2010/8</c:v>
                </c:pt>
                <c:pt idx="8">
                  <c:v>2010/9</c:v>
                </c:pt>
                <c:pt idx="9">
                  <c:v>2010/10</c:v>
                </c:pt>
                <c:pt idx="10">
                  <c:v>2010/11</c:v>
                </c:pt>
                <c:pt idx="11">
                  <c:v>2010/12</c:v>
                </c:pt>
                <c:pt idx="12">
                  <c:v>2011/1</c:v>
                </c:pt>
                <c:pt idx="13">
                  <c:v>2011/2</c:v>
                </c:pt>
                <c:pt idx="14">
                  <c:v>2011/3</c:v>
                </c:pt>
                <c:pt idx="15">
                  <c:v>2011/4</c:v>
                </c:pt>
                <c:pt idx="16">
                  <c:v>2011/5</c:v>
                </c:pt>
                <c:pt idx="17">
                  <c:v>2011/6</c:v>
                </c:pt>
                <c:pt idx="18">
                  <c:v>2011/7</c:v>
                </c:pt>
                <c:pt idx="19">
                  <c:v>2011/8</c:v>
                </c:pt>
                <c:pt idx="20">
                  <c:v>2011/9</c:v>
                </c:pt>
                <c:pt idx="21">
                  <c:v>2011/10</c:v>
                </c:pt>
                <c:pt idx="22">
                  <c:v>2011/11</c:v>
                </c:pt>
                <c:pt idx="23">
                  <c:v>2011/12</c:v>
                </c:pt>
                <c:pt idx="24">
                  <c:v>2012/1</c:v>
                </c:pt>
                <c:pt idx="25">
                  <c:v>2012/2</c:v>
                </c:pt>
                <c:pt idx="26">
                  <c:v>2012/3</c:v>
                </c:pt>
                <c:pt idx="27">
                  <c:v>2012/4</c:v>
                </c:pt>
                <c:pt idx="28">
                  <c:v>2012/5</c:v>
                </c:pt>
                <c:pt idx="29">
                  <c:v>2012/6</c:v>
                </c:pt>
                <c:pt idx="30">
                  <c:v>2012/7</c:v>
                </c:pt>
                <c:pt idx="31">
                  <c:v>2012/8</c:v>
                </c:pt>
                <c:pt idx="32">
                  <c:v>2012/9</c:v>
                </c:pt>
                <c:pt idx="33">
                  <c:v>2012/10</c:v>
                </c:pt>
                <c:pt idx="34">
                  <c:v>2012/11</c:v>
                </c:pt>
                <c:pt idx="35">
                  <c:v>2012/12</c:v>
                </c:pt>
                <c:pt idx="36">
                  <c:v>2013/1</c:v>
                </c:pt>
                <c:pt idx="37">
                  <c:v>2013/2</c:v>
                </c:pt>
                <c:pt idx="38">
                  <c:v>2013/3</c:v>
                </c:pt>
                <c:pt idx="39">
                  <c:v>2013/4</c:v>
                </c:pt>
                <c:pt idx="40">
                  <c:v>2013/5</c:v>
                </c:pt>
                <c:pt idx="41">
                  <c:v>2013/6</c:v>
                </c:pt>
                <c:pt idx="42">
                  <c:v>2013/7</c:v>
                </c:pt>
                <c:pt idx="43">
                  <c:v>2013/8</c:v>
                </c:pt>
                <c:pt idx="44">
                  <c:v>2013/9</c:v>
                </c:pt>
                <c:pt idx="45">
                  <c:v>2013/10</c:v>
                </c:pt>
                <c:pt idx="46">
                  <c:v>2013/11</c:v>
                </c:pt>
                <c:pt idx="47">
                  <c:v>2013/12</c:v>
                </c:pt>
                <c:pt idx="48">
                  <c:v>2014/1</c:v>
                </c:pt>
                <c:pt idx="49">
                  <c:v>2014/2</c:v>
                </c:pt>
                <c:pt idx="50">
                  <c:v>2014/3</c:v>
                </c:pt>
                <c:pt idx="51">
                  <c:v>2014/4</c:v>
                </c:pt>
                <c:pt idx="52">
                  <c:v>2014/5</c:v>
                </c:pt>
                <c:pt idx="53">
                  <c:v>2014/6</c:v>
                </c:pt>
                <c:pt idx="54">
                  <c:v>2014/7</c:v>
                </c:pt>
                <c:pt idx="55">
                  <c:v>2014/8</c:v>
                </c:pt>
                <c:pt idx="56">
                  <c:v>2014/9</c:v>
                </c:pt>
                <c:pt idx="57">
                  <c:v>2014/10</c:v>
                </c:pt>
                <c:pt idx="58">
                  <c:v>2014/11</c:v>
                </c:pt>
                <c:pt idx="59">
                  <c:v>2014/12</c:v>
                </c:pt>
                <c:pt idx="60">
                  <c:v>2015/1</c:v>
                </c:pt>
                <c:pt idx="61">
                  <c:v>2015/2</c:v>
                </c:pt>
                <c:pt idx="62">
                  <c:v>2015/3</c:v>
                </c:pt>
              </c:strCache>
            </c:strRef>
          </c:cat>
          <c:val>
            <c:numRef>
              <c:f>'vyvoj poctu dohod podla rokov'!$D$6:$D$68</c:f>
              <c:numCache>
                <c:formatCode>#,##0</c:formatCode>
                <c:ptCount val="63"/>
                <c:pt idx="0">
                  <c:v>147642</c:v>
                </c:pt>
                <c:pt idx="1">
                  <c:v>156158</c:v>
                </c:pt>
                <c:pt idx="2">
                  <c:v>166832</c:v>
                </c:pt>
                <c:pt idx="3">
                  <c:v>157606</c:v>
                </c:pt>
                <c:pt idx="4">
                  <c:v>179453</c:v>
                </c:pt>
                <c:pt idx="5">
                  <c:v>182689</c:v>
                </c:pt>
                <c:pt idx="6">
                  <c:v>159752</c:v>
                </c:pt>
                <c:pt idx="7">
                  <c:v>161968</c:v>
                </c:pt>
                <c:pt idx="8">
                  <c:v>174658</c:v>
                </c:pt>
                <c:pt idx="9">
                  <c:v>183892</c:v>
                </c:pt>
                <c:pt idx="10">
                  <c:v>194903</c:v>
                </c:pt>
                <c:pt idx="11">
                  <c:v>190480</c:v>
                </c:pt>
                <c:pt idx="12">
                  <c:v>153900</c:v>
                </c:pt>
                <c:pt idx="13">
                  <c:v>178726</c:v>
                </c:pt>
                <c:pt idx="14">
                  <c:v>177068</c:v>
                </c:pt>
                <c:pt idx="15">
                  <c:v>204206</c:v>
                </c:pt>
                <c:pt idx="16">
                  <c:v>190832</c:v>
                </c:pt>
                <c:pt idx="17">
                  <c:v>202662</c:v>
                </c:pt>
                <c:pt idx="18">
                  <c:v>171485</c:v>
                </c:pt>
                <c:pt idx="19">
                  <c:v>177744</c:v>
                </c:pt>
                <c:pt idx="20">
                  <c:v>186683</c:v>
                </c:pt>
                <c:pt idx="21">
                  <c:v>206450</c:v>
                </c:pt>
                <c:pt idx="22">
                  <c:v>216008</c:v>
                </c:pt>
                <c:pt idx="23">
                  <c:v>210103</c:v>
                </c:pt>
                <c:pt idx="24">
                  <c:v>181607</c:v>
                </c:pt>
                <c:pt idx="25">
                  <c:v>192832</c:v>
                </c:pt>
                <c:pt idx="26">
                  <c:v>211699</c:v>
                </c:pt>
                <c:pt idx="27">
                  <c:v>203301</c:v>
                </c:pt>
                <c:pt idx="28">
                  <c:v>205155</c:v>
                </c:pt>
                <c:pt idx="29">
                  <c:v>212154</c:v>
                </c:pt>
                <c:pt idx="30">
                  <c:v>185969</c:v>
                </c:pt>
                <c:pt idx="31">
                  <c:v>190155</c:v>
                </c:pt>
                <c:pt idx="32">
                  <c:v>205108</c:v>
                </c:pt>
                <c:pt idx="33">
                  <c:v>216671</c:v>
                </c:pt>
                <c:pt idx="34">
                  <c:v>222781</c:v>
                </c:pt>
                <c:pt idx="35">
                  <c:v>219276</c:v>
                </c:pt>
                <c:pt idx="36">
                  <c:v>77298</c:v>
                </c:pt>
                <c:pt idx="37">
                  <c:v>86497</c:v>
                </c:pt>
                <c:pt idx="38">
                  <c:v>95343</c:v>
                </c:pt>
                <c:pt idx="39">
                  <c:v>102016</c:v>
                </c:pt>
                <c:pt idx="40">
                  <c:v>98068</c:v>
                </c:pt>
                <c:pt idx="41">
                  <c:v>98762</c:v>
                </c:pt>
                <c:pt idx="42">
                  <c:v>80903</c:v>
                </c:pt>
                <c:pt idx="43">
                  <c:v>82906</c:v>
                </c:pt>
                <c:pt idx="44">
                  <c:v>93937</c:v>
                </c:pt>
                <c:pt idx="45">
                  <c:v>100642</c:v>
                </c:pt>
                <c:pt idx="46">
                  <c:v>111789</c:v>
                </c:pt>
                <c:pt idx="47">
                  <c:v>108400</c:v>
                </c:pt>
                <c:pt idx="48">
                  <c:v>83919</c:v>
                </c:pt>
                <c:pt idx="49">
                  <c:v>92341</c:v>
                </c:pt>
                <c:pt idx="50">
                  <c:v>99256</c:v>
                </c:pt>
                <c:pt idx="51">
                  <c:v>101108</c:v>
                </c:pt>
                <c:pt idx="52">
                  <c:v>109536</c:v>
                </c:pt>
                <c:pt idx="53">
                  <c:v>107181</c:v>
                </c:pt>
                <c:pt idx="54">
                  <c:v>90999</c:v>
                </c:pt>
                <c:pt idx="55">
                  <c:v>92401</c:v>
                </c:pt>
                <c:pt idx="56">
                  <c:v>106330</c:v>
                </c:pt>
                <c:pt idx="57">
                  <c:v>115131</c:v>
                </c:pt>
                <c:pt idx="58">
                  <c:v>123767</c:v>
                </c:pt>
                <c:pt idx="59">
                  <c:v>118228</c:v>
                </c:pt>
                <c:pt idx="60">
                  <c:v>97600</c:v>
                </c:pt>
                <c:pt idx="61">
                  <c:v>103852</c:v>
                </c:pt>
                <c:pt idx="62">
                  <c:v>109320</c:v>
                </c:pt>
              </c:numCache>
            </c:numRef>
          </c:val>
        </c:ser>
        <c:ser>
          <c:idx val="1"/>
          <c:order val="1"/>
          <c:tx>
            <c:strRef>
              <c:f>'vyvoj poctu dohod podla rokov'!$E$5</c:f>
              <c:strCache>
                <c:ptCount val="1"/>
                <c:pt idx="0">
                  <c:v>bez súbehu </c:v>
                </c:pt>
              </c:strCache>
            </c:strRef>
          </c:tx>
          <c:invertIfNegative val="0"/>
          <c:cat>
            <c:strRef>
              <c:f>'vyvoj poctu dohod podla rokov'!$C$6:$C$68</c:f>
              <c:strCache>
                <c:ptCount val="63"/>
                <c:pt idx="0">
                  <c:v>2010/1</c:v>
                </c:pt>
                <c:pt idx="1">
                  <c:v>2010/2</c:v>
                </c:pt>
                <c:pt idx="2">
                  <c:v>2010/3</c:v>
                </c:pt>
                <c:pt idx="3">
                  <c:v>2010/4</c:v>
                </c:pt>
                <c:pt idx="4">
                  <c:v>2010/5</c:v>
                </c:pt>
                <c:pt idx="5">
                  <c:v>2010/6</c:v>
                </c:pt>
                <c:pt idx="6">
                  <c:v>2010/7</c:v>
                </c:pt>
                <c:pt idx="7">
                  <c:v>2010/8</c:v>
                </c:pt>
                <c:pt idx="8">
                  <c:v>2010/9</c:v>
                </c:pt>
                <c:pt idx="9">
                  <c:v>2010/10</c:v>
                </c:pt>
                <c:pt idx="10">
                  <c:v>2010/11</c:v>
                </c:pt>
                <c:pt idx="11">
                  <c:v>2010/12</c:v>
                </c:pt>
                <c:pt idx="12">
                  <c:v>2011/1</c:v>
                </c:pt>
                <c:pt idx="13">
                  <c:v>2011/2</c:v>
                </c:pt>
                <c:pt idx="14">
                  <c:v>2011/3</c:v>
                </c:pt>
                <c:pt idx="15">
                  <c:v>2011/4</c:v>
                </c:pt>
                <c:pt idx="16">
                  <c:v>2011/5</c:v>
                </c:pt>
                <c:pt idx="17">
                  <c:v>2011/6</c:v>
                </c:pt>
                <c:pt idx="18">
                  <c:v>2011/7</c:v>
                </c:pt>
                <c:pt idx="19">
                  <c:v>2011/8</c:v>
                </c:pt>
                <c:pt idx="20">
                  <c:v>2011/9</c:v>
                </c:pt>
                <c:pt idx="21">
                  <c:v>2011/10</c:v>
                </c:pt>
                <c:pt idx="22">
                  <c:v>2011/11</c:v>
                </c:pt>
                <c:pt idx="23">
                  <c:v>2011/12</c:v>
                </c:pt>
                <c:pt idx="24">
                  <c:v>2012/1</c:v>
                </c:pt>
                <c:pt idx="25">
                  <c:v>2012/2</c:v>
                </c:pt>
                <c:pt idx="26">
                  <c:v>2012/3</c:v>
                </c:pt>
                <c:pt idx="27">
                  <c:v>2012/4</c:v>
                </c:pt>
                <c:pt idx="28">
                  <c:v>2012/5</c:v>
                </c:pt>
                <c:pt idx="29">
                  <c:v>2012/6</c:v>
                </c:pt>
                <c:pt idx="30">
                  <c:v>2012/7</c:v>
                </c:pt>
                <c:pt idx="31">
                  <c:v>2012/8</c:v>
                </c:pt>
                <c:pt idx="32">
                  <c:v>2012/9</c:v>
                </c:pt>
                <c:pt idx="33">
                  <c:v>2012/10</c:v>
                </c:pt>
                <c:pt idx="34">
                  <c:v>2012/11</c:v>
                </c:pt>
                <c:pt idx="35">
                  <c:v>2012/12</c:v>
                </c:pt>
                <c:pt idx="36">
                  <c:v>2013/1</c:v>
                </c:pt>
                <c:pt idx="37">
                  <c:v>2013/2</c:v>
                </c:pt>
                <c:pt idx="38">
                  <c:v>2013/3</c:v>
                </c:pt>
                <c:pt idx="39">
                  <c:v>2013/4</c:v>
                </c:pt>
                <c:pt idx="40">
                  <c:v>2013/5</c:v>
                </c:pt>
                <c:pt idx="41">
                  <c:v>2013/6</c:v>
                </c:pt>
                <c:pt idx="42">
                  <c:v>2013/7</c:v>
                </c:pt>
                <c:pt idx="43">
                  <c:v>2013/8</c:v>
                </c:pt>
                <c:pt idx="44">
                  <c:v>2013/9</c:v>
                </c:pt>
                <c:pt idx="45">
                  <c:v>2013/10</c:v>
                </c:pt>
                <c:pt idx="46">
                  <c:v>2013/11</c:v>
                </c:pt>
                <c:pt idx="47">
                  <c:v>2013/12</c:v>
                </c:pt>
                <c:pt idx="48">
                  <c:v>2014/1</c:v>
                </c:pt>
                <c:pt idx="49">
                  <c:v>2014/2</c:v>
                </c:pt>
                <c:pt idx="50">
                  <c:v>2014/3</c:v>
                </c:pt>
                <c:pt idx="51">
                  <c:v>2014/4</c:v>
                </c:pt>
                <c:pt idx="52">
                  <c:v>2014/5</c:v>
                </c:pt>
                <c:pt idx="53">
                  <c:v>2014/6</c:v>
                </c:pt>
                <c:pt idx="54">
                  <c:v>2014/7</c:v>
                </c:pt>
                <c:pt idx="55">
                  <c:v>2014/8</c:v>
                </c:pt>
                <c:pt idx="56">
                  <c:v>2014/9</c:v>
                </c:pt>
                <c:pt idx="57">
                  <c:v>2014/10</c:v>
                </c:pt>
                <c:pt idx="58">
                  <c:v>2014/11</c:v>
                </c:pt>
                <c:pt idx="59">
                  <c:v>2014/12</c:v>
                </c:pt>
                <c:pt idx="60">
                  <c:v>2015/1</c:v>
                </c:pt>
                <c:pt idx="61">
                  <c:v>2015/2</c:v>
                </c:pt>
                <c:pt idx="62">
                  <c:v>2015/3</c:v>
                </c:pt>
              </c:strCache>
            </c:strRef>
          </c:cat>
          <c:val>
            <c:numRef>
              <c:f>'vyvoj poctu dohod podla rokov'!$E$6:$E$68</c:f>
              <c:numCache>
                <c:formatCode>#,##0</c:formatCode>
                <c:ptCount val="63"/>
                <c:pt idx="0">
                  <c:v>212129</c:v>
                </c:pt>
                <c:pt idx="1">
                  <c:v>224204</c:v>
                </c:pt>
                <c:pt idx="2">
                  <c:v>241499</c:v>
                </c:pt>
                <c:pt idx="3">
                  <c:v>262204</c:v>
                </c:pt>
                <c:pt idx="4">
                  <c:v>265866</c:v>
                </c:pt>
                <c:pt idx="5">
                  <c:v>279824</c:v>
                </c:pt>
                <c:pt idx="6">
                  <c:v>303133</c:v>
                </c:pt>
                <c:pt idx="7">
                  <c:v>306612</c:v>
                </c:pt>
                <c:pt idx="8">
                  <c:v>292374</c:v>
                </c:pt>
                <c:pt idx="9">
                  <c:v>290916</c:v>
                </c:pt>
                <c:pt idx="10">
                  <c:v>294224</c:v>
                </c:pt>
                <c:pt idx="11">
                  <c:v>289782</c:v>
                </c:pt>
                <c:pt idx="12">
                  <c:v>225657</c:v>
                </c:pt>
                <c:pt idx="13">
                  <c:v>235773</c:v>
                </c:pt>
                <c:pt idx="14">
                  <c:v>241478</c:v>
                </c:pt>
                <c:pt idx="15">
                  <c:v>264038</c:v>
                </c:pt>
                <c:pt idx="16">
                  <c:v>292765</c:v>
                </c:pt>
                <c:pt idx="17">
                  <c:v>319098</c:v>
                </c:pt>
                <c:pt idx="18">
                  <c:v>328417</c:v>
                </c:pt>
                <c:pt idx="19">
                  <c:v>339082</c:v>
                </c:pt>
                <c:pt idx="20">
                  <c:v>320982</c:v>
                </c:pt>
                <c:pt idx="21">
                  <c:v>327240</c:v>
                </c:pt>
                <c:pt idx="22">
                  <c:v>329595</c:v>
                </c:pt>
                <c:pt idx="23">
                  <c:v>319988</c:v>
                </c:pt>
                <c:pt idx="24">
                  <c:v>267949</c:v>
                </c:pt>
                <c:pt idx="25">
                  <c:v>283630</c:v>
                </c:pt>
                <c:pt idx="26">
                  <c:v>309924</c:v>
                </c:pt>
                <c:pt idx="27">
                  <c:v>313646</c:v>
                </c:pt>
                <c:pt idx="28">
                  <c:v>321111</c:v>
                </c:pt>
                <c:pt idx="29">
                  <c:v>366520</c:v>
                </c:pt>
                <c:pt idx="30">
                  <c:v>359532</c:v>
                </c:pt>
                <c:pt idx="31">
                  <c:v>366948</c:v>
                </c:pt>
                <c:pt idx="32">
                  <c:v>355645</c:v>
                </c:pt>
                <c:pt idx="33">
                  <c:v>347351</c:v>
                </c:pt>
                <c:pt idx="34">
                  <c:v>345693</c:v>
                </c:pt>
                <c:pt idx="35">
                  <c:v>333099</c:v>
                </c:pt>
                <c:pt idx="36">
                  <c:v>163585</c:v>
                </c:pt>
                <c:pt idx="37">
                  <c:v>181024</c:v>
                </c:pt>
                <c:pt idx="38">
                  <c:v>200147</c:v>
                </c:pt>
                <c:pt idx="39">
                  <c:v>213333</c:v>
                </c:pt>
                <c:pt idx="40">
                  <c:v>210511</c:v>
                </c:pt>
                <c:pt idx="41">
                  <c:v>222974</c:v>
                </c:pt>
                <c:pt idx="42">
                  <c:v>241446</c:v>
                </c:pt>
                <c:pt idx="43">
                  <c:v>244330</c:v>
                </c:pt>
                <c:pt idx="44">
                  <c:v>231661</c:v>
                </c:pt>
                <c:pt idx="45">
                  <c:v>231183</c:v>
                </c:pt>
                <c:pt idx="46">
                  <c:v>234990</c:v>
                </c:pt>
                <c:pt idx="47">
                  <c:v>235997</c:v>
                </c:pt>
                <c:pt idx="48">
                  <c:v>195874</c:v>
                </c:pt>
                <c:pt idx="49">
                  <c:v>208374</c:v>
                </c:pt>
                <c:pt idx="50">
                  <c:v>219226</c:v>
                </c:pt>
                <c:pt idx="51">
                  <c:v>227770</c:v>
                </c:pt>
                <c:pt idx="52">
                  <c:v>238121</c:v>
                </c:pt>
                <c:pt idx="53">
                  <c:v>251920</c:v>
                </c:pt>
                <c:pt idx="54">
                  <c:v>269788</c:v>
                </c:pt>
                <c:pt idx="55">
                  <c:v>271021</c:v>
                </c:pt>
                <c:pt idx="56">
                  <c:v>257084</c:v>
                </c:pt>
                <c:pt idx="57">
                  <c:v>254319</c:v>
                </c:pt>
                <c:pt idx="58">
                  <c:v>256880</c:v>
                </c:pt>
                <c:pt idx="59">
                  <c:v>252798</c:v>
                </c:pt>
                <c:pt idx="60">
                  <c:v>224555</c:v>
                </c:pt>
                <c:pt idx="61">
                  <c:v>234995</c:v>
                </c:pt>
                <c:pt idx="62">
                  <c:v>243552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25281408"/>
        <c:axId val="125282944"/>
      </c:barChart>
      <c:catAx>
        <c:axId val="125281408"/>
        <c:scaling>
          <c:orientation val="minMax"/>
        </c:scaling>
        <c:delete val="0"/>
        <c:axPos val="b"/>
        <c:majorTickMark val="out"/>
        <c:minorTickMark val="none"/>
        <c:tickLblPos val="nextTo"/>
        <c:crossAx val="125282944"/>
        <c:crosses val="autoZero"/>
        <c:auto val="1"/>
        <c:lblAlgn val="ctr"/>
        <c:lblOffset val="100"/>
        <c:noMultiLvlLbl val="0"/>
      </c:catAx>
      <c:valAx>
        <c:axId val="125282944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12528140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4"/>
          <c:order val="0"/>
          <c:tx>
            <c:strRef>
              <c:f>'C:\Users\PETERG~1\AppData\Local\Temp\[dataTab.xls]dataTab'!$A$12</c:f>
              <c:strCache>
                <c:ptCount val="1"/>
                <c:pt idx="0">
                  <c:v>  Vysokoškolské - 2. stupeň</c:v>
                </c:pt>
              </c:strCache>
            </c:strRef>
          </c:tx>
          <c:marker>
            <c:symbol val="none"/>
          </c:marker>
          <c:cat>
            <c:strRef>
              <c:f>'C:\Users\PETERG~1\AppData\Local\Temp\[dataTab.xls]dataTab'!$B$2:$CH$2</c:f>
              <c:strCache>
                <c:ptCount val="85"/>
                <c:pt idx="0">
                  <c:v>1994Q1</c:v>
                </c:pt>
                <c:pt idx="1">
                  <c:v>1994Q2</c:v>
                </c:pt>
                <c:pt idx="2">
                  <c:v>1994Q3</c:v>
                </c:pt>
                <c:pt idx="3">
                  <c:v>1994Q4</c:v>
                </c:pt>
                <c:pt idx="4">
                  <c:v>1995Q1</c:v>
                </c:pt>
                <c:pt idx="5">
                  <c:v>1995Q2</c:v>
                </c:pt>
                <c:pt idx="6">
                  <c:v>1995Q3</c:v>
                </c:pt>
                <c:pt idx="7">
                  <c:v>1995Q4</c:v>
                </c:pt>
                <c:pt idx="8">
                  <c:v>1996Q1</c:v>
                </c:pt>
                <c:pt idx="9">
                  <c:v>1996Q2</c:v>
                </c:pt>
                <c:pt idx="10">
                  <c:v>1996Q3</c:v>
                </c:pt>
                <c:pt idx="11">
                  <c:v>1996Q4</c:v>
                </c:pt>
                <c:pt idx="12">
                  <c:v>1997Q1</c:v>
                </c:pt>
                <c:pt idx="13">
                  <c:v>1997Q2</c:v>
                </c:pt>
                <c:pt idx="14">
                  <c:v>1997Q3</c:v>
                </c:pt>
                <c:pt idx="15">
                  <c:v>1997Q4</c:v>
                </c:pt>
                <c:pt idx="16">
                  <c:v>1998Q1</c:v>
                </c:pt>
                <c:pt idx="17">
                  <c:v>1998Q2</c:v>
                </c:pt>
                <c:pt idx="18">
                  <c:v>1998Q3</c:v>
                </c:pt>
                <c:pt idx="19">
                  <c:v>1998Q4</c:v>
                </c:pt>
                <c:pt idx="20">
                  <c:v>1999Q1</c:v>
                </c:pt>
                <c:pt idx="21">
                  <c:v>1999Q2</c:v>
                </c:pt>
                <c:pt idx="22">
                  <c:v>1999Q3</c:v>
                </c:pt>
                <c:pt idx="23">
                  <c:v>1999Q4</c:v>
                </c:pt>
                <c:pt idx="24">
                  <c:v>2000Q1</c:v>
                </c:pt>
                <c:pt idx="25">
                  <c:v>2000Q2</c:v>
                </c:pt>
                <c:pt idx="26">
                  <c:v>2000Q3</c:v>
                </c:pt>
                <c:pt idx="27">
                  <c:v>2000Q4</c:v>
                </c:pt>
                <c:pt idx="28">
                  <c:v>2001Q1</c:v>
                </c:pt>
                <c:pt idx="29">
                  <c:v>2001Q2</c:v>
                </c:pt>
                <c:pt idx="30">
                  <c:v>2001Q3</c:v>
                </c:pt>
                <c:pt idx="31">
                  <c:v>2001Q4</c:v>
                </c:pt>
                <c:pt idx="32">
                  <c:v>2002Q1</c:v>
                </c:pt>
                <c:pt idx="33">
                  <c:v>2002Q2</c:v>
                </c:pt>
                <c:pt idx="34">
                  <c:v>2002Q3</c:v>
                </c:pt>
                <c:pt idx="35">
                  <c:v>2002Q4</c:v>
                </c:pt>
                <c:pt idx="36">
                  <c:v>2003Q1</c:v>
                </c:pt>
                <c:pt idx="37">
                  <c:v>2003Q2</c:v>
                </c:pt>
                <c:pt idx="38">
                  <c:v>2003Q3</c:v>
                </c:pt>
                <c:pt idx="39">
                  <c:v>2003Q4</c:v>
                </c:pt>
                <c:pt idx="40">
                  <c:v>2004Q1</c:v>
                </c:pt>
                <c:pt idx="41">
                  <c:v>2004Q2</c:v>
                </c:pt>
                <c:pt idx="42">
                  <c:v>2004Q3</c:v>
                </c:pt>
                <c:pt idx="43">
                  <c:v>2004Q4</c:v>
                </c:pt>
                <c:pt idx="44">
                  <c:v>2005Q1</c:v>
                </c:pt>
                <c:pt idx="45">
                  <c:v>2005Q2</c:v>
                </c:pt>
                <c:pt idx="46">
                  <c:v>2005Q3</c:v>
                </c:pt>
                <c:pt idx="47">
                  <c:v>2005Q4</c:v>
                </c:pt>
                <c:pt idx="48">
                  <c:v>2006Q1</c:v>
                </c:pt>
                <c:pt idx="49">
                  <c:v>2006Q2</c:v>
                </c:pt>
                <c:pt idx="50">
                  <c:v>2006Q3</c:v>
                </c:pt>
                <c:pt idx="51">
                  <c:v>2006Q4</c:v>
                </c:pt>
                <c:pt idx="52">
                  <c:v>2007Q1</c:v>
                </c:pt>
                <c:pt idx="53">
                  <c:v>2007Q2</c:v>
                </c:pt>
                <c:pt idx="54">
                  <c:v>2007Q3</c:v>
                </c:pt>
                <c:pt idx="55">
                  <c:v>2007Q4</c:v>
                </c:pt>
                <c:pt idx="56">
                  <c:v>2008Q1</c:v>
                </c:pt>
                <c:pt idx="57">
                  <c:v>2008Q2</c:v>
                </c:pt>
                <c:pt idx="58">
                  <c:v>2008Q3</c:v>
                </c:pt>
                <c:pt idx="59">
                  <c:v>2008Q4</c:v>
                </c:pt>
                <c:pt idx="60">
                  <c:v>2009Q1</c:v>
                </c:pt>
                <c:pt idx="61">
                  <c:v>2009Q2</c:v>
                </c:pt>
                <c:pt idx="62">
                  <c:v>2009Q3</c:v>
                </c:pt>
                <c:pt idx="63">
                  <c:v>2009Q4</c:v>
                </c:pt>
                <c:pt idx="64">
                  <c:v>2010Q1</c:v>
                </c:pt>
                <c:pt idx="65">
                  <c:v>2010Q2</c:v>
                </c:pt>
                <c:pt idx="66">
                  <c:v>2010Q3</c:v>
                </c:pt>
                <c:pt idx="67">
                  <c:v>2010Q4</c:v>
                </c:pt>
                <c:pt idx="68">
                  <c:v>2011Q1</c:v>
                </c:pt>
                <c:pt idx="69">
                  <c:v>2011Q2</c:v>
                </c:pt>
                <c:pt idx="70">
                  <c:v>2011Q3</c:v>
                </c:pt>
                <c:pt idx="71">
                  <c:v>2011Q4</c:v>
                </c:pt>
                <c:pt idx="72">
                  <c:v>2012Q1</c:v>
                </c:pt>
                <c:pt idx="73">
                  <c:v>2012Q2</c:v>
                </c:pt>
                <c:pt idx="74">
                  <c:v>2012Q3</c:v>
                </c:pt>
                <c:pt idx="75">
                  <c:v>2012Q4</c:v>
                </c:pt>
                <c:pt idx="76">
                  <c:v>2013Q1</c:v>
                </c:pt>
                <c:pt idx="77">
                  <c:v>2013Q2</c:v>
                </c:pt>
                <c:pt idx="78">
                  <c:v>2013Q3</c:v>
                </c:pt>
                <c:pt idx="79">
                  <c:v>2013Q4</c:v>
                </c:pt>
                <c:pt idx="80">
                  <c:v>2014Q1</c:v>
                </c:pt>
                <c:pt idx="81">
                  <c:v>2014Q2</c:v>
                </c:pt>
                <c:pt idx="82">
                  <c:v>2014Q3</c:v>
                </c:pt>
                <c:pt idx="83">
                  <c:v>2014Q4</c:v>
                </c:pt>
                <c:pt idx="84">
                  <c:v>2015Q1</c:v>
                </c:pt>
              </c:strCache>
            </c:strRef>
          </c:cat>
          <c:val>
            <c:numRef>
              <c:f>'C:\Users\PETERG~1\AppData\Local\Temp\[dataTab.xls]dataTab'!$B$12:$CH$12</c:f>
              <c:numCache>
                <c:formatCode>General</c:formatCode>
                <c:ptCount val="85"/>
                <c:pt idx="0">
                  <c:v>87.7</c:v>
                </c:pt>
                <c:pt idx="1">
                  <c:v>88.7</c:v>
                </c:pt>
                <c:pt idx="2">
                  <c:v>88.1</c:v>
                </c:pt>
                <c:pt idx="3">
                  <c:v>87.6</c:v>
                </c:pt>
                <c:pt idx="4">
                  <c:v>87.4</c:v>
                </c:pt>
                <c:pt idx="5">
                  <c:v>88.2</c:v>
                </c:pt>
                <c:pt idx="6">
                  <c:v>88</c:v>
                </c:pt>
                <c:pt idx="7">
                  <c:v>87.9</c:v>
                </c:pt>
                <c:pt idx="8">
                  <c:v>88.4</c:v>
                </c:pt>
                <c:pt idx="9">
                  <c:v>89</c:v>
                </c:pt>
                <c:pt idx="10">
                  <c:v>88.6</c:v>
                </c:pt>
                <c:pt idx="11">
                  <c:v>88.6</c:v>
                </c:pt>
                <c:pt idx="12">
                  <c:v>89.3</c:v>
                </c:pt>
                <c:pt idx="13">
                  <c:v>89.2</c:v>
                </c:pt>
                <c:pt idx="14">
                  <c:v>88.8</c:v>
                </c:pt>
                <c:pt idx="15">
                  <c:v>88.9</c:v>
                </c:pt>
                <c:pt idx="16">
                  <c:v>89.7</c:v>
                </c:pt>
                <c:pt idx="17">
                  <c:v>89.3</c:v>
                </c:pt>
                <c:pt idx="18">
                  <c:v>86.9</c:v>
                </c:pt>
                <c:pt idx="19">
                  <c:v>87.1</c:v>
                </c:pt>
                <c:pt idx="20">
                  <c:v>87.5</c:v>
                </c:pt>
                <c:pt idx="21">
                  <c:v>87</c:v>
                </c:pt>
                <c:pt idx="22">
                  <c:v>85.7</c:v>
                </c:pt>
                <c:pt idx="23">
                  <c:v>84.3</c:v>
                </c:pt>
                <c:pt idx="24">
                  <c:v>85.3</c:v>
                </c:pt>
                <c:pt idx="25">
                  <c:v>85.2</c:v>
                </c:pt>
                <c:pt idx="26">
                  <c:v>84</c:v>
                </c:pt>
                <c:pt idx="27">
                  <c:v>85.2</c:v>
                </c:pt>
                <c:pt idx="28">
                  <c:v>86.3</c:v>
                </c:pt>
                <c:pt idx="29">
                  <c:v>86.1</c:v>
                </c:pt>
                <c:pt idx="30">
                  <c:v>85.9</c:v>
                </c:pt>
                <c:pt idx="31">
                  <c:v>87</c:v>
                </c:pt>
                <c:pt idx="32">
                  <c:v>86.2</c:v>
                </c:pt>
                <c:pt idx="33">
                  <c:v>86.8</c:v>
                </c:pt>
                <c:pt idx="34">
                  <c:v>86.1</c:v>
                </c:pt>
                <c:pt idx="35">
                  <c:v>86.6</c:v>
                </c:pt>
                <c:pt idx="36">
                  <c:v>87.9</c:v>
                </c:pt>
                <c:pt idx="37">
                  <c:v>90.5</c:v>
                </c:pt>
                <c:pt idx="38">
                  <c:v>85.3</c:v>
                </c:pt>
                <c:pt idx="39">
                  <c:v>84.9</c:v>
                </c:pt>
                <c:pt idx="40">
                  <c:v>83.6</c:v>
                </c:pt>
                <c:pt idx="41">
                  <c:v>84.1</c:v>
                </c:pt>
                <c:pt idx="42">
                  <c:v>81.599999999999994</c:v>
                </c:pt>
                <c:pt idx="43">
                  <c:v>82.8</c:v>
                </c:pt>
                <c:pt idx="44">
                  <c:v>83.6</c:v>
                </c:pt>
                <c:pt idx="45">
                  <c:v>84.4</c:v>
                </c:pt>
                <c:pt idx="46">
                  <c:v>84</c:v>
                </c:pt>
                <c:pt idx="47">
                  <c:v>84.7</c:v>
                </c:pt>
                <c:pt idx="48">
                  <c:v>85.1</c:v>
                </c:pt>
                <c:pt idx="49">
                  <c:v>84.8</c:v>
                </c:pt>
                <c:pt idx="50">
                  <c:v>84</c:v>
                </c:pt>
                <c:pt idx="51">
                  <c:v>85</c:v>
                </c:pt>
                <c:pt idx="52">
                  <c:v>84.9</c:v>
                </c:pt>
                <c:pt idx="53">
                  <c:v>84.3</c:v>
                </c:pt>
                <c:pt idx="54">
                  <c:v>83.6</c:v>
                </c:pt>
                <c:pt idx="55">
                  <c:v>85</c:v>
                </c:pt>
                <c:pt idx="56">
                  <c:v>86.4</c:v>
                </c:pt>
                <c:pt idx="57">
                  <c:v>86.3</c:v>
                </c:pt>
                <c:pt idx="58">
                  <c:v>86.4</c:v>
                </c:pt>
                <c:pt idx="59">
                  <c:v>86.8</c:v>
                </c:pt>
                <c:pt idx="60">
                  <c:v>86.2</c:v>
                </c:pt>
                <c:pt idx="61">
                  <c:v>84.4</c:v>
                </c:pt>
                <c:pt idx="62">
                  <c:v>82.6</c:v>
                </c:pt>
                <c:pt idx="63">
                  <c:v>83.8</c:v>
                </c:pt>
                <c:pt idx="64">
                  <c:v>84.6</c:v>
                </c:pt>
                <c:pt idx="65">
                  <c:v>83.4</c:v>
                </c:pt>
                <c:pt idx="66">
                  <c:v>83.1</c:v>
                </c:pt>
                <c:pt idx="67">
                  <c:v>83.1</c:v>
                </c:pt>
                <c:pt idx="68">
                  <c:v>82.4</c:v>
                </c:pt>
                <c:pt idx="69">
                  <c:v>84.1</c:v>
                </c:pt>
                <c:pt idx="70">
                  <c:v>82.9</c:v>
                </c:pt>
                <c:pt idx="71">
                  <c:v>82.2</c:v>
                </c:pt>
                <c:pt idx="72">
                  <c:v>82.8</c:v>
                </c:pt>
                <c:pt idx="73">
                  <c:v>82.3</c:v>
                </c:pt>
                <c:pt idx="74">
                  <c:v>80.7</c:v>
                </c:pt>
                <c:pt idx="75">
                  <c:v>80.3</c:v>
                </c:pt>
                <c:pt idx="76">
                  <c:v>80.8</c:v>
                </c:pt>
                <c:pt idx="77">
                  <c:v>81.3</c:v>
                </c:pt>
                <c:pt idx="78">
                  <c:v>80.599999999999994</c:v>
                </c:pt>
                <c:pt idx="79">
                  <c:v>80.599999999999994</c:v>
                </c:pt>
                <c:pt idx="80">
                  <c:v>80.599999999999994</c:v>
                </c:pt>
                <c:pt idx="81">
                  <c:v>81.900000000000006</c:v>
                </c:pt>
                <c:pt idx="82">
                  <c:v>81</c:v>
                </c:pt>
                <c:pt idx="83">
                  <c:v>80.8</c:v>
                </c:pt>
                <c:pt idx="84">
                  <c:v>80.8</c:v>
                </c:pt>
              </c:numCache>
            </c:numRef>
          </c:val>
          <c:smooth val="0"/>
        </c:ser>
        <c:ser>
          <c:idx val="2"/>
          <c:order val="1"/>
          <c:tx>
            <c:strRef>
              <c:f>'C:\Users\PETERG~1\AppData\Local\Temp\[dataTab.xls]dataTab'!$A$9</c:f>
              <c:strCache>
                <c:ptCount val="1"/>
                <c:pt idx="0">
                  <c:v>  Úplné stredné odborné (učňovské) s maturitou</c:v>
                </c:pt>
              </c:strCache>
            </c:strRef>
          </c:tx>
          <c:marker>
            <c:symbol val="none"/>
          </c:marker>
          <c:cat>
            <c:strRef>
              <c:f>'C:\Users\PETERG~1\AppData\Local\Temp\[dataTab.xls]dataTab'!$B$2:$CH$2</c:f>
              <c:strCache>
                <c:ptCount val="85"/>
                <c:pt idx="0">
                  <c:v>1994Q1</c:v>
                </c:pt>
                <c:pt idx="1">
                  <c:v>1994Q2</c:v>
                </c:pt>
                <c:pt idx="2">
                  <c:v>1994Q3</c:v>
                </c:pt>
                <c:pt idx="3">
                  <c:v>1994Q4</c:v>
                </c:pt>
                <c:pt idx="4">
                  <c:v>1995Q1</c:v>
                </c:pt>
                <c:pt idx="5">
                  <c:v>1995Q2</c:v>
                </c:pt>
                <c:pt idx="6">
                  <c:v>1995Q3</c:v>
                </c:pt>
                <c:pt idx="7">
                  <c:v>1995Q4</c:v>
                </c:pt>
                <c:pt idx="8">
                  <c:v>1996Q1</c:v>
                </c:pt>
                <c:pt idx="9">
                  <c:v>1996Q2</c:v>
                </c:pt>
                <c:pt idx="10">
                  <c:v>1996Q3</c:v>
                </c:pt>
                <c:pt idx="11">
                  <c:v>1996Q4</c:v>
                </c:pt>
                <c:pt idx="12">
                  <c:v>1997Q1</c:v>
                </c:pt>
                <c:pt idx="13">
                  <c:v>1997Q2</c:v>
                </c:pt>
                <c:pt idx="14">
                  <c:v>1997Q3</c:v>
                </c:pt>
                <c:pt idx="15">
                  <c:v>1997Q4</c:v>
                </c:pt>
                <c:pt idx="16">
                  <c:v>1998Q1</c:v>
                </c:pt>
                <c:pt idx="17">
                  <c:v>1998Q2</c:v>
                </c:pt>
                <c:pt idx="18">
                  <c:v>1998Q3</c:v>
                </c:pt>
                <c:pt idx="19">
                  <c:v>1998Q4</c:v>
                </c:pt>
                <c:pt idx="20">
                  <c:v>1999Q1</c:v>
                </c:pt>
                <c:pt idx="21">
                  <c:v>1999Q2</c:v>
                </c:pt>
                <c:pt idx="22">
                  <c:v>1999Q3</c:v>
                </c:pt>
                <c:pt idx="23">
                  <c:v>1999Q4</c:v>
                </c:pt>
                <c:pt idx="24">
                  <c:v>2000Q1</c:v>
                </c:pt>
                <c:pt idx="25">
                  <c:v>2000Q2</c:v>
                </c:pt>
                <c:pt idx="26">
                  <c:v>2000Q3</c:v>
                </c:pt>
                <c:pt idx="27">
                  <c:v>2000Q4</c:v>
                </c:pt>
                <c:pt idx="28">
                  <c:v>2001Q1</c:v>
                </c:pt>
                <c:pt idx="29">
                  <c:v>2001Q2</c:v>
                </c:pt>
                <c:pt idx="30">
                  <c:v>2001Q3</c:v>
                </c:pt>
                <c:pt idx="31">
                  <c:v>2001Q4</c:v>
                </c:pt>
                <c:pt idx="32">
                  <c:v>2002Q1</c:v>
                </c:pt>
                <c:pt idx="33">
                  <c:v>2002Q2</c:v>
                </c:pt>
                <c:pt idx="34">
                  <c:v>2002Q3</c:v>
                </c:pt>
                <c:pt idx="35">
                  <c:v>2002Q4</c:v>
                </c:pt>
                <c:pt idx="36">
                  <c:v>2003Q1</c:v>
                </c:pt>
                <c:pt idx="37">
                  <c:v>2003Q2</c:v>
                </c:pt>
                <c:pt idx="38">
                  <c:v>2003Q3</c:v>
                </c:pt>
                <c:pt idx="39">
                  <c:v>2003Q4</c:v>
                </c:pt>
                <c:pt idx="40">
                  <c:v>2004Q1</c:v>
                </c:pt>
                <c:pt idx="41">
                  <c:v>2004Q2</c:v>
                </c:pt>
                <c:pt idx="42">
                  <c:v>2004Q3</c:v>
                </c:pt>
                <c:pt idx="43">
                  <c:v>2004Q4</c:v>
                </c:pt>
                <c:pt idx="44">
                  <c:v>2005Q1</c:v>
                </c:pt>
                <c:pt idx="45">
                  <c:v>2005Q2</c:v>
                </c:pt>
                <c:pt idx="46">
                  <c:v>2005Q3</c:v>
                </c:pt>
                <c:pt idx="47">
                  <c:v>2005Q4</c:v>
                </c:pt>
                <c:pt idx="48">
                  <c:v>2006Q1</c:v>
                </c:pt>
                <c:pt idx="49">
                  <c:v>2006Q2</c:v>
                </c:pt>
                <c:pt idx="50">
                  <c:v>2006Q3</c:v>
                </c:pt>
                <c:pt idx="51">
                  <c:v>2006Q4</c:v>
                </c:pt>
                <c:pt idx="52">
                  <c:v>2007Q1</c:v>
                </c:pt>
                <c:pt idx="53">
                  <c:v>2007Q2</c:v>
                </c:pt>
                <c:pt idx="54">
                  <c:v>2007Q3</c:v>
                </c:pt>
                <c:pt idx="55">
                  <c:v>2007Q4</c:v>
                </c:pt>
                <c:pt idx="56">
                  <c:v>2008Q1</c:v>
                </c:pt>
                <c:pt idx="57">
                  <c:v>2008Q2</c:v>
                </c:pt>
                <c:pt idx="58">
                  <c:v>2008Q3</c:v>
                </c:pt>
                <c:pt idx="59">
                  <c:v>2008Q4</c:v>
                </c:pt>
                <c:pt idx="60">
                  <c:v>2009Q1</c:v>
                </c:pt>
                <c:pt idx="61">
                  <c:v>2009Q2</c:v>
                </c:pt>
                <c:pt idx="62">
                  <c:v>2009Q3</c:v>
                </c:pt>
                <c:pt idx="63">
                  <c:v>2009Q4</c:v>
                </c:pt>
                <c:pt idx="64">
                  <c:v>2010Q1</c:v>
                </c:pt>
                <c:pt idx="65">
                  <c:v>2010Q2</c:v>
                </c:pt>
                <c:pt idx="66">
                  <c:v>2010Q3</c:v>
                </c:pt>
                <c:pt idx="67">
                  <c:v>2010Q4</c:v>
                </c:pt>
                <c:pt idx="68">
                  <c:v>2011Q1</c:v>
                </c:pt>
                <c:pt idx="69">
                  <c:v>2011Q2</c:v>
                </c:pt>
                <c:pt idx="70">
                  <c:v>2011Q3</c:v>
                </c:pt>
                <c:pt idx="71">
                  <c:v>2011Q4</c:v>
                </c:pt>
                <c:pt idx="72">
                  <c:v>2012Q1</c:v>
                </c:pt>
                <c:pt idx="73">
                  <c:v>2012Q2</c:v>
                </c:pt>
                <c:pt idx="74">
                  <c:v>2012Q3</c:v>
                </c:pt>
                <c:pt idx="75">
                  <c:v>2012Q4</c:v>
                </c:pt>
                <c:pt idx="76">
                  <c:v>2013Q1</c:v>
                </c:pt>
                <c:pt idx="77">
                  <c:v>2013Q2</c:v>
                </c:pt>
                <c:pt idx="78">
                  <c:v>2013Q3</c:v>
                </c:pt>
                <c:pt idx="79">
                  <c:v>2013Q4</c:v>
                </c:pt>
                <c:pt idx="80">
                  <c:v>2014Q1</c:v>
                </c:pt>
                <c:pt idx="81">
                  <c:v>2014Q2</c:v>
                </c:pt>
                <c:pt idx="82">
                  <c:v>2014Q3</c:v>
                </c:pt>
                <c:pt idx="83">
                  <c:v>2014Q4</c:v>
                </c:pt>
                <c:pt idx="84">
                  <c:v>2015Q1</c:v>
                </c:pt>
              </c:strCache>
            </c:strRef>
          </c:cat>
          <c:val>
            <c:numRef>
              <c:f>'C:\Users\PETERG~1\AppData\Local\Temp\[dataTab.xls]dataTab'!$B$9:$CH$9</c:f>
              <c:numCache>
                <c:formatCode>General</c:formatCode>
                <c:ptCount val="85"/>
                <c:pt idx="0">
                  <c:v>72</c:v>
                </c:pt>
                <c:pt idx="1">
                  <c:v>73.900000000000006</c:v>
                </c:pt>
                <c:pt idx="2">
                  <c:v>71</c:v>
                </c:pt>
                <c:pt idx="3">
                  <c:v>71.900000000000006</c:v>
                </c:pt>
                <c:pt idx="4">
                  <c:v>72.5</c:v>
                </c:pt>
                <c:pt idx="5">
                  <c:v>78.5</c:v>
                </c:pt>
                <c:pt idx="6">
                  <c:v>78.400000000000006</c:v>
                </c:pt>
                <c:pt idx="7">
                  <c:v>78.7</c:v>
                </c:pt>
                <c:pt idx="8">
                  <c:v>78.5</c:v>
                </c:pt>
                <c:pt idx="9">
                  <c:v>78.8</c:v>
                </c:pt>
                <c:pt idx="10">
                  <c:v>78.2</c:v>
                </c:pt>
                <c:pt idx="11">
                  <c:v>79.599999999999994</c:v>
                </c:pt>
                <c:pt idx="12">
                  <c:v>78.099999999999994</c:v>
                </c:pt>
                <c:pt idx="13">
                  <c:v>79.2</c:v>
                </c:pt>
                <c:pt idx="14">
                  <c:v>77.2</c:v>
                </c:pt>
                <c:pt idx="15">
                  <c:v>76</c:v>
                </c:pt>
                <c:pt idx="16">
                  <c:v>76.7</c:v>
                </c:pt>
                <c:pt idx="17">
                  <c:v>75.8</c:v>
                </c:pt>
                <c:pt idx="18">
                  <c:v>73.2</c:v>
                </c:pt>
                <c:pt idx="19">
                  <c:v>74.2</c:v>
                </c:pt>
                <c:pt idx="20">
                  <c:v>73.900000000000006</c:v>
                </c:pt>
                <c:pt idx="21">
                  <c:v>73.099999999999994</c:v>
                </c:pt>
                <c:pt idx="22">
                  <c:v>72</c:v>
                </c:pt>
                <c:pt idx="23">
                  <c:v>72.400000000000006</c:v>
                </c:pt>
                <c:pt idx="24">
                  <c:v>70.599999999999994</c:v>
                </c:pt>
                <c:pt idx="25">
                  <c:v>68.900000000000006</c:v>
                </c:pt>
                <c:pt idx="26">
                  <c:v>69.8</c:v>
                </c:pt>
                <c:pt idx="27">
                  <c:v>70.2</c:v>
                </c:pt>
                <c:pt idx="28">
                  <c:v>68.8</c:v>
                </c:pt>
                <c:pt idx="29">
                  <c:v>70.099999999999994</c:v>
                </c:pt>
                <c:pt idx="30">
                  <c:v>70.5</c:v>
                </c:pt>
                <c:pt idx="31">
                  <c:v>70</c:v>
                </c:pt>
                <c:pt idx="32">
                  <c:v>70.8</c:v>
                </c:pt>
                <c:pt idx="33">
                  <c:v>71</c:v>
                </c:pt>
                <c:pt idx="34">
                  <c:v>73.900000000000006</c:v>
                </c:pt>
                <c:pt idx="35">
                  <c:v>72.099999999999994</c:v>
                </c:pt>
                <c:pt idx="36">
                  <c:v>72.599999999999994</c:v>
                </c:pt>
                <c:pt idx="37">
                  <c:v>73.8</c:v>
                </c:pt>
                <c:pt idx="38">
                  <c:v>76.2</c:v>
                </c:pt>
                <c:pt idx="39">
                  <c:v>74.900000000000006</c:v>
                </c:pt>
                <c:pt idx="40">
                  <c:v>72</c:v>
                </c:pt>
                <c:pt idx="41">
                  <c:v>72.8</c:v>
                </c:pt>
                <c:pt idx="42">
                  <c:v>71.400000000000006</c:v>
                </c:pt>
                <c:pt idx="43">
                  <c:v>72.3</c:v>
                </c:pt>
                <c:pt idx="44">
                  <c:v>73.2</c:v>
                </c:pt>
                <c:pt idx="45">
                  <c:v>72.099999999999994</c:v>
                </c:pt>
                <c:pt idx="46">
                  <c:v>71.7</c:v>
                </c:pt>
                <c:pt idx="47">
                  <c:v>73.2</c:v>
                </c:pt>
                <c:pt idx="48">
                  <c:v>74.2</c:v>
                </c:pt>
                <c:pt idx="49">
                  <c:v>74.900000000000006</c:v>
                </c:pt>
                <c:pt idx="50">
                  <c:v>75.3</c:v>
                </c:pt>
                <c:pt idx="51">
                  <c:v>77.400000000000006</c:v>
                </c:pt>
                <c:pt idx="52">
                  <c:v>77.900000000000006</c:v>
                </c:pt>
                <c:pt idx="53">
                  <c:v>77.900000000000006</c:v>
                </c:pt>
                <c:pt idx="54">
                  <c:v>77.599999999999994</c:v>
                </c:pt>
                <c:pt idx="55">
                  <c:v>79.8</c:v>
                </c:pt>
                <c:pt idx="56">
                  <c:v>78.099999999999994</c:v>
                </c:pt>
                <c:pt idx="57">
                  <c:v>78.900000000000006</c:v>
                </c:pt>
                <c:pt idx="58">
                  <c:v>79.900000000000006</c:v>
                </c:pt>
                <c:pt idx="59">
                  <c:v>80.3</c:v>
                </c:pt>
                <c:pt idx="60">
                  <c:v>75.599999999999994</c:v>
                </c:pt>
                <c:pt idx="61">
                  <c:v>74</c:v>
                </c:pt>
                <c:pt idx="62">
                  <c:v>73.7</c:v>
                </c:pt>
                <c:pt idx="63">
                  <c:v>72.7</c:v>
                </c:pt>
                <c:pt idx="64">
                  <c:v>72.099999999999994</c:v>
                </c:pt>
                <c:pt idx="65">
                  <c:v>72.400000000000006</c:v>
                </c:pt>
                <c:pt idx="66">
                  <c:v>71.2</c:v>
                </c:pt>
                <c:pt idx="67">
                  <c:v>71.599999999999994</c:v>
                </c:pt>
                <c:pt idx="68">
                  <c:v>72.3</c:v>
                </c:pt>
                <c:pt idx="69">
                  <c:v>73.3</c:v>
                </c:pt>
                <c:pt idx="70">
                  <c:v>73.099999999999994</c:v>
                </c:pt>
                <c:pt idx="71">
                  <c:v>76.2</c:v>
                </c:pt>
                <c:pt idx="72">
                  <c:v>76.5</c:v>
                </c:pt>
                <c:pt idx="73">
                  <c:v>78.7</c:v>
                </c:pt>
                <c:pt idx="74">
                  <c:v>79.3</c:v>
                </c:pt>
                <c:pt idx="75">
                  <c:v>78.599999999999994</c:v>
                </c:pt>
                <c:pt idx="76">
                  <c:v>79.7</c:v>
                </c:pt>
                <c:pt idx="77">
                  <c:v>77.3</c:v>
                </c:pt>
                <c:pt idx="78">
                  <c:v>78.400000000000006</c:v>
                </c:pt>
                <c:pt idx="79">
                  <c:v>77.900000000000006</c:v>
                </c:pt>
                <c:pt idx="80">
                  <c:v>77.400000000000006</c:v>
                </c:pt>
                <c:pt idx="81">
                  <c:v>76.599999999999994</c:v>
                </c:pt>
                <c:pt idx="82">
                  <c:v>75.8</c:v>
                </c:pt>
                <c:pt idx="83">
                  <c:v>74.599999999999994</c:v>
                </c:pt>
                <c:pt idx="84">
                  <c:v>75.2</c:v>
                </c:pt>
              </c:numCache>
            </c:numRef>
          </c:val>
          <c:smooth val="0"/>
        </c:ser>
        <c:ser>
          <c:idx val="6"/>
          <c:order val="2"/>
          <c:tx>
            <c:strRef>
              <c:f>'podľa vzdelania'!$A$11</c:f>
              <c:strCache>
                <c:ptCount val="1"/>
                <c:pt idx="0">
                  <c:v>  Úplné stredné odborné</c:v>
                </c:pt>
              </c:strCache>
            </c:strRef>
          </c:tx>
          <c:marker>
            <c:symbol val="none"/>
          </c:marker>
          <c:val>
            <c:numRef>
              <c:f>'podľa vzdelania'!$B$11:$CH$11</c:f>
              <c:numCache>
                <c:formatCode>General</c:formatCode>
                <c:ptCount val="85"/>
                <c:pt idx="0">
                  <c:v>75.400000000000006</c:v>
                </c:pt>
                <c:pt idx="1">
                  <c:v>75.3</c:v>
                </c:pt>
                <c:pt idx="2">
                  <c:v>75</c:v>
                </c:pt>
                <c:pt idx="3">
                  <c:v>73.599999999999994</c:v>
                </c:pt>
                <c:pt idx="4">
                  <c:v>74</c:v>
                </c:pt>
                <c:pt idx="5">
                  <c:v>75.400000000000006</c:v>
                </c:pt>
                <c:pt idx="6">
                  <c:v>75.599999999999994</c:v>
                </c:pt>
                <c:pt idx="7">
                  <c:v>76.599999999999994</c:v>
                </c:pt>
                <c:pt idx="8">
                  <c:v>76.8</c:v>
                </c:pt>
                <c:pt idx="9">
                  <c:v>77.2</c:v>
                </c:pt>
                <c:pt idx="10">
                  <c:v>76</c:v>
                </c:pt>
                <c:pt idx="11">
                  <c:v>75.8</c:v>
                </c:pt>
                <c:pt idx="12">
                  <c:v>74.7</c:v>
                </c:pt>
                <c:pt idx="13">
                  <c:v>75.400000000000006</c:v>
                </c:pt>
                <c:pt idx="14">
                  <c:v>74.599999999999994</c:v>
                </c:pt>
                <c:pt idx="15">
                  <c:v>74.599999999999994</c:v>
                </c:pt>
                <c:pt idx="16">
                  <c:v>74.599999999999994</c:v>
                </c:pt>
                <c:pt idx="17">
                  <c:v>75.400000000000006</c:v>
                </c:pt>
                <c:pt idx="18">
                  <c:v>74</c:v>
                </c:pt>
                <c:pt idx="19">
                  <c:v>73.400000000000006</c:v>
                </c:pt>
                <c:pt idx="20">
                  <c:v>71</c:v>
                </c:pt>
                <c:pt idx="21">
                  <c:v>70.5</c:v>
                </c:pt>
                <c:pt idx="22">
                  <c:v>70</c:v>
                </c:pt>
                <c:pt idx="23">
                  <c:v>70.2</c:v>
                </c:pt>
                <c:pt idx="24">
                  <c:v>70.400000000000006</c:v>
                </c:pt>
                <c:pt idx="25">
                  <c:v>69.900000000000006</c:v>
                </c:pt>
                <c:pt idx="26">
                  <c:v>69.5</c:v>
                </c:pt>
                <c:pt idx="27">
                  <c:v>69.5</c:v>
                </c:pt>
                <c:pt idx="28">
                  <c:v>68.900000000000006</c:v>
                </c:pt>
                <c:pt idx="29">
                  <c:v>69.2</c:v>
                </c:pt>
                <c:pt idx="30">
                  <c:v>69.3</c:v>
                </c:pt>
                <c:pt idx="31">
                  <c:v>69.5</c:v>
                </c:pt>
                <c:pt idx="32">
                  <c:v>69.400000000000006</c:v>
                </c:pt>
                <c:pt idx="33">
                  <c:v>69.900000000000006</c:v>
                </c:pt>
                <c:pt idx="34">
                  <c:v>69.900000000000006</c:v>
                </c:pt>
                <c:pt idx="35">
                  <c:v>71.099999999999994</c:v>
                </c:pt>
                <c:pt idx="36">
                  <c:v>70.7</c:v>
                </c:pt>
                <c:pt idx="37">
                  <c:v>71.7</c:v>
                </c:pt>
                <c:pt idx="38">
                  <c:v>71.3</c:v>
                </c:pt>
                <c:pt idx="39">
                  <c:v>71.3</c:v>
                </c:pt>
                <c:pt idx="40">
                  <c:v>70.099999999999994</c:v>
                </c:pt>
                <c:pt idx="41">
                  <c:v>70.599999999999994</c:v>
                </c:pt>
                <c:pt idx="42">
                  <c:v>71.099999999999994</c:v>
                </c:pt>
                <c:pt idx="43">
                  <c:v>71.599999999999994</c:v>
                </c:pt>
                <c:pt idx="44">
                  <c:v>71.3</c:v>
                </c:pt>
                <c:pt idx="45">
                  <c:v>72.099999999999994</c:v>
                </c:pt>
                <c:pt idx="46">
                  <c:v>71.8</c:v>
                </c:pt>
                <c:pt idx="47">
                  <c:v>72.3</c:v>
                </c:pt>
                <c:pt idx="48">
                  <c:v>71.5</c:v>
                </c:pt>
                <c:pt idx="49">
                  <c:v>72.099999999999994</c:v>
                </c:pt>
                <c:pt idx="50">
                  <c:v>72.3</c:v>
                </c:pt>
                <c:pt idx="51">
                  <c:v>73.2</c:v>
                </c:pt>
                <c:pt idx="52">
                  <c:v>73.7</c:v>
                </c:pt>
                <c:pt idx="53">
                  <c:v>74.3</c:v>
                </c:pt>
                <c:pt idx="54">
                  <c:v>73.3</c:v>
                </c:pt>
                <c:pt idx="55">
                  <c:v>74.400000000000006</c:v>
                </c:pt>
                <c:pt idx="56">
                  <c:v>74.2</c:v>
                </c:pt>
                <c:pt idx="57">
                  <c:v>74.8</c:v>
                </c:pt>
                <c:pt idx="58">
                  <c:v>74.2</c:v>
                </c:pt>
                <c:pt idx="59">
                  <c:v>73.7</c:v>
                </c:pt>
                <c:pt idx="60">
                  <c:v>72.400000000000006</c:v>
                </c:pt>
                <c:pt idx="61">
                  <c:v>71.900000000000006</c:v>
                </c:pt>
                <c:pt idx="62">
                  <c:v>71.099999999999994</c:v>
                </c:pt>
                <c:pt idx="63">
                  <c:v>71.5</c:v>
                </c:pt>
                <c:pt idx="64">
                  <c:v>70.5</c:v>
                </c:pt>
                <c:pt idx="65">
                  <c:v>70.8</c:v>
                </c:pt>
                <c:pt idx="66">
                  <c:v>70.8</c:v>
                </c:pt>
                <c:pt idx="67">
                  <c:v>70.900000000000006</c:v>
                </c:pt>
                <c:pt idx="68">
                  <c:v>70.099999999999994</c:v>
                </c:pt>
                <c:pt idx="69">
                  <c:v>70.8</c:v>
                </c:pt>
                <c:pt idx="70">
                  <c:v>71</c:v>
                </c:pt>
                <c:pt idx="71">
                  <c:v>71</c:v>
                </c:pt>
                <c:pt idx="72">
                  <c:v>71.400000000000006</c:v>
                </c:pt>
                <c:pt idx="73">
                  <c:v>71.3</c:v>
                </c:pt>
                <c:pt idx="74">
                  <c:v>70.900000000000006</c:v>
                </c:pt>
                <c:pt idx="75">
                  <c:v>70.599999999999994</c:v>
                </c:pt>
                <c:pt idx="76">
                  <c:v>70.900000000000006</c:v>
                </c:pt>
                <c:pt idx="77">
                  <c:v>71.2</c:v>
                </c:pt>
                <c:pt idx="78">
                  <c:v>71.099999999999994</c:v>
                </c:pt>
                <c:pt idx="79">
                  <c:v>71.599999999999994</c:v>
                </c:pt>
                <c:pt idx="80">
                  <c:v>72.599999999999994</c:v>
                </c:pt>
                <c:pt idx="81">
                  <c:v>73.099999999999994</c:v>
                </c:pt>
                <c:pt idx="82">
                  <c:v>73.5</c:v>
                </c:pt>
                <c:pt idx="83">
                  <c:v>74.099999999999994</c:v>
                </c:pt>
                <c:pt idx="84">
                  <c:v>73.599999999999994</c:v>
                </c:pt>
              </c:numCache>
            </c:numRef>
          </c:val>
          <c:smooth val="0"/>
        </c:ser>
        <c:ser>
          <c:idx val="1"/>
          <c:order val="3"/>
          <c:tx>
            <c:strRef>
              <c:f>'C:\Users\PETERG~1\AppData\Local\Temp\[dataTab.xls]dataTab'!$A$6</c:f>
              <c:strCache>
                <c:ptCount val="1"/>
                <c:pt idx="0">
                  <c:v>  Učňovské bez maturity</c:v>
                </c:pt>
              </c:strCache>
            </c:strRef>
          </c:tx>
          <c:marker>
            <c:symbol val="none"/>
          </c:marker>
          <c:cat>
            <c:strRef>
              <c:f>'C:\Users\PETERG~1\AppData\Local\Temp\[dataTab.xls]dataTab'!$B$2:$CH$2</c:f>
              <c:strCache>
                <c:ptCount val="85"/>
                <c:pt idx="0">
                  <c:v>1994Q1</c:v>
                </c:pt>
                <c:pt idx="1">
                  <c:v>1994Q2</c:v>
                </c:pt>
                <c:pt idx="2">
                  <c:v>1994Q3</c:v>
                </c:pt>
                <c:pt idx="3">
                  <c:v>1994Q4</c:v>
                </c:pt>
                <c:pt idx="4">
                  <c:v>1995Q1</c:v>
                </c:pt>
                <c:pt idx="5">
                  <c:v>1995Q2</c:v>
                </c:pt>
                <c:pt idx="6">
                  <c:v>1995Q3</c:v>
                </c:pt>
                <c:pt idx="7">
                  <c:v>1995Q4</c:v>
                </c:pt>
                <c:pt idx="8">
                  <c:v>1996Q1</c:v>
                </c:pt>
                <c:pt idx="9">
                  <c:v>1996Q2</c:v>
                </c:pt>
                <c:pt idx="10">
                  <c:v>1996Q3</c:v>
                </c:pt>
                <c:pt idx="11">
                  <c:v>1996Q4</c:v>
                </c:pt>
                <c:pt idx="12">
                  <c:v>1997Q1</c:v>
                </c:pt>
                <c:pt idx="13">
                  <c:v>1997Q2</c:v>
                </c:pt>
                <c:pt idx="14">
                  <c:v>1997Q3</c:v>
                </c:pt>
                <c:pt idx="15">
                  <c:v>1997Q4</c:v>
                </c:pt>
                <c:pt idx="16">
                  <c:v>1998Q1</c:v>
                </c:pt>
                <c:pt idx="17">
                  <c:v>1998Q2</c:v>
                </c:pt>
                <c:pt idx="18">
                  <c:v>1998Q3</c:v>
                </c:pt>
                <c:pt idx="19">
                  <c:v>1998Q4</c:v>
                </c:pt>
                <c:pt idx="20">
                  <c:v>1999Q1</c:v>
                </c:pt>
                <c:pt idx="21">
                  <c:v>1999Q2</c:v>
                </c:pt>
                <c:pt idx="22">
                  <c:v>1999Q3</c:v>
                </c:pt>
                <c:pt idx="23">
                  <c:v>1999Q4</c:v>
                </c:pt>
                <c:pt idx="24">
                  <c:v>2000Q1</c:v>
                </c:pt>
                <c:pt idx="25">
                  <c:v>2000Q2</c:v>
                </c:pt>
                <c:pt idx="26">
                  <c:v>2000Q3</c:v>
                </c:pt>
                <c:pt idx="27">
                  <c:v>2000Q4</c:v>
                </c:pt>
                <c:pt idx="28">
                  <c:v>2001Q1</c:v>
                </c:pt>
                <c:pt idx="29">
                  <c:v>2001Q2</c:v>
                </c:pt>
                <c:pt idx="30">
                  <c:v>2001Q3</c:v>
                </c:pt>
                <c:pt idx="31">
                  <c:v>2001Q4</c:v>
                </c:pt>
                <c:pt idx="32">
                  <c:v>2002Q1</c:v>
                </c:pt>
                <c:pt idx="33">
                  <c:v>2002Q2</c:v>
                </c:pt>
                <c:pt idx="34">
                  <c:v>2002Q3</c:v>
                </c:pt>
                <c:pt idx="35">
                  <c:v>2002Q4</c:v>
                </c:pt>
                <c:pt idx="36">
                  <c:v>2003Q1</c:v>
                </c:pt>
                <c:pt idx="37">
                  <c:v>2003Q2</c:v>
                </c:pt>
                <c:pt idx="38">
                  <c:v>2003Q3</c:v>
                </c:pt>
                <c:pt idx="39">
                  <c:v>2003Q4</c:v>
                </c:pt>
                <c:pt idx="40">
                  <c:v>2004Q1</c:v>
                </c:pt>
                <c:pt idx="41">
                  <c:v>2004Q2</c:v>
                </c:pt>
                <c:pt idx="42">
                  <c:v>2004Q3</c:v>
                </c:pt>
                <c:pt idx="43">
                  <c:v>2004Q4</c:v>
                </c:pt>
                <c:pt idx="44">
                  <c:v>2005Q1</c:v>
                </c:pt>
                <c:pt idx="45">
                  <c:v>2005Q2</c:v>
                </c:pt>
                <c:pt idx="46">
                  <c:v>2005Q3</c:v>
                </c:pt>
                <c:pt idx="47">
                  <c:v>2005Q4</c:v>
                </c:pt>
                <c:pt idx="48">
                  <c:v>2006Q1</c:v>
                </c:pt>
                <c:pt idx="49">
                  <c:v>2006Q2</c:v>
                </c:pt>
                <c:pt idx="50">
                  <c:v>2006Q3</c:v>
                </c:pt>
                <c:pt idx="51">
                  <c:v>2006Q4</c:v>
                </c:pt>
                <c:pt idx="52">
                  <c:v>2007Q1</c:v>
                </c:pt>
                <c:pt idx="53">
                  <c:v>2007Q2</c:v>
                </c:pt>
                <c:pt idx="54">
                  <c:v>2007Q3</c:v>
                </c:pt>
                <c:pt idx="55">
                  <c:v>2007Q4</c:v>
                </c:pt>
                <c:pt idx="56">
                  <c:v>2008Q1</c:v>
                </c:pt>
                <c:pt idx="57">
                  <c:v>2008Q2</c:v>
                </c:pt>
                <c:pt idx="58">
                  <c:v>2008Q3</c:v>
                </c:pt>
                <c:pt idx="59">
                  <c:v>2008Q4</c:v>
                </c:pt>
                <c:pt idx="60">
                  <c:v>2009Q1</c:v>
                </c:pt>
                <c:pt idx="61">
                  <c:v>2009Q2</c:v>
                </c:pt>
                <c:pt idx="62">
                  <c:v>2009Q3</c:v>
                </c:pt>
                <c:pt idx="63">
                  <c:v>2009Q4</c:v>
                </c:pt>
                <c:pt idx="64">
                  <c:v>2010Q1</c:v>
                </c:pt>
                <c:pt idx="65">
                  <c:v>2010Q2</c:v>
                </c:pt>
                <c:pt idx="66">
                  <c:v>2010Q3</c:v>
                </c:pt>
                <c:pt idx="67">
                  <c:v>2010Q4</c:v>
                </c:pt>
                <c:pt idx="68">
                  <c:v>2011Q1</c:v>
                </c:pt>
                <c:pt idx="69">
                  <c:v>2011Q2</c:v>
                </c:pt>
                <c:pt idx="70">
                  <c:v>2011Q3</c:v>
                </c:pt>
                <c:pt idx="71">
                  <c:v>2011Q4</c:v>
                </c:pt>
                <c:pt idx="72">
                  <c:v>2012Q1</c:v>
                </c:pt>
                <c:pt idx="73">
                  <c:v>2012Q2</c:v>
                </c:pt>
                <c:pt idx="74">
                  <c:v>2012Q3</c:v>
                </c:pt>
                <c:pt idx="75">
                  <c:v>2012Q4</c:v>
                </c:pt>
                <c:pt idx="76">
                  <c:v>2013Q1</c:v>
                </c:pt>
                <c:pt idx="77">
                  <c:v>2013Q2</c:v>
                </c:pt>
                <c:pt idx="78">
                  <c:v>2013Q3</c:v>
                </c:pt>
                <c:pt idx="79">
                  <c:v>2013Q4</c:v>
                </c:pt>
                <c:pt idx="80">
                  <c:v>2014Q1</c:v>
                </c:pt>
                <c:pt idx="81">
                  <c:v>2014Q2</c:v>
                </c:pt>
                <c:pt idx="82">
                  <c:v>2014Q3</c:v>
                </c:pt>
                <c:pt idx="83">
                  <c:v>2014Q4</c:v>
                </c:pt>
                <c:pt idx="84">
                  <c:v>2015Q1</c:v>
                </c:pt>
              </c:strCache>
            </c:strRef>
          </c:cat>
          <c:val>
            <c:numRef>
              <c:f>'C:\Users\PETERG~1\AppData\Local\Temp\[dataTab.xls]dataTab'!$B$6:$CC$6</c:f>
              <c:numCache>
                <c:formatCode>General</c:formatCode>
                <c:ptCount val="80"/>
                <c:pt idx="0">
                  <c:v>70.8</c:v>
                </c:pt>
                <c:pt idx="1">
                  <c:v>70.5</c:v>
                </c:pt>
                <c:pt idx="2">
                  <c:v>71</c:v>
                </c:pt>
                <c:pt idx="3">
                  <c:v>70.900000000000006</c:v>
                </c:pt>
                <c:pt idx="4">
                  <c:v>70.2</c:v>
                </c:pt>
                <c:pt idx="5">
                  <c:v>71</c:v>
                </c:pt>
                <c:pt idx="6">
                  <c:v>72.7</c:v>
                </c:pt>
                <c:pt idx="7">
                  <c:v>72.5</c:v>
                </c:pt>
                <c:pt idx="8">
                  <c:v>72.8</c:v>
                </c:pt>
                <c:pt idx="9">
                  <c:v>74</c:v>
                </c:pt>
                <c:pt idx="10">
                  <c:v>74.7</c:v>
                </c:pt>
                <c:pt idx="11">
                  <c:v>74.2</c:v>
                </c:pt>
                <c:pt idx="12">
                  <c:v>72.2</c:v>
                </c:pt>
                <c:pt idx="13">
                  <c:v>71.8</c:v>
                </c:pt>
                <c:pt idx="14">
                  <c:v>72.5</c:v>
                </c:pt>
                <c:pt idx="15">
                  <c:v>72.599999999999994</c:v>
                </c:pt>
                <c:pt idx="16">
                  <c:v>70.599999999999994</c:v>
                </c:pt>
                <c:pt idx="17">
                  <c:v>70.599999999999994</c:v>
                </c:pt>
                <c:pt idx="18">
                  <c:v>70.2</c:v>
                </c:pt>
                <c:pt idx="19">
                  <c:v>70.2</c:v>
                </c:pt>
                <c:pt idx="20">
                  <c:v>68</c:v>
                </c:pt>
                <c:pt idx="21">
                  <c:v>67.5</c:v>
                </c:pt>
                <c:pt idx="22">
                  <c:v>67.400000000000006</c:v>
                </c:pt>
                <c:pt idx="23">
                  <c:v>67</c:v>
                </c:pt>
                <c:pt idx="24">
                  <c:v>64.099999999999994</c:v>
                </c:pt>
                <c:pt idx="25">
                  <c:v>64.3</c:v>
                </c:pt>
                <c:pt idx="26">
                  <c:v>65</c:v>
                </c:pt>
                <c:pt idx="27">
                  <c:v>64.900000000000006</c:v>
                </c:pt>
                <c:pt idx="28">
                  <c:v>62.9</c:v>
                </c:pt>
                <c:pt idx="29">
                  <c:v>64</c:v>
                </c:pt>
                <c:pt idx="30">
                  <c:v>64.599999999999994</c:v>
                </c:pt>
                <c:pt idx="31">
                  <c:v>64.7</c:v>
                </c:pt>
                <c:pt idx="32">
                  <c:v>63.5</c:v>
                </c:pt>
                <c:pt idx="33">
                  <c:v>64.099999999999994</c:v>
                </c:pt>
                <c:pt idx="34">
                  <c:v>64.7</c:v>
                </c:pt>
                <c:pt idx="35">
                  <c:v>65</c:v>
                </c:pt>
                <c:pt idx="36">
                  <c:v>63.9</c:v>
                </c:pt>
                <c:pt idx="37">
                  <c:v>64.900000000000006</c:v>
                </c:pt>
                <c:pt idx="38">
                  <c:v>67.099999999999994</c:v>
                </c:pt>
                <c:pt idx="39">
                  <c:v>66.2</c:v>
                </c:pt>
                <c:pt idx="40">
                  <c:v>63.7</c:v>
                </c:pt>
                <c:pt idx="41">
                  <c:v>64.400000000000006</c:v>
                </c:pt>
                <c:pt idx="42">
                  <c:v>66</c:v>
                </c:pt>
                <c:pt idx="43">
                  <c:v>65.3</c:v>
                </c:pt>
                <c:pt idx="44">
                  <c:v>64.3</c:v>
                </c:pt>
                <c:pt idx="45">
                  <c:v>65</c:v>
                </c:pt>
                <c:pt idx="46">
                  <c:v>65.2</c:v>
                </c:pt>
                <c:pt idx="47">
                  <c:v>65.400000000000006</c:v>
                </c:pt>
                <c:pt idx="48">
                  <c:v>64.900000000000006</c:v>
                </c:pt>
                <c:pt idx="49">
                  <c:v>67.099999999999994</c:v>
                </c:pt>
                <c:pt idx="50">
                  <c:v>68.099999999999994</c:v>
                </c:pt>
                <c:pt idx="51">
                  <c:v>68.2</c:v>
                </c:pt>
                <c:pt idx="52">
                  <c:v>68.099999999999994</c:v>
                </c:pt>
                <c:pt idx="53">
                  <c:v>68.400000000000006</c:v>
                </c:pt>
                <c:pt idx="54">
                  <c:v>68.599999999999994</c:v>
                </c:pt>
                <c:pt idx="55">
                  <c:v>69.3</c:v>
                </c:pt>
                <c:pt idx="56">
                  <c:v>69.599999999999994</c:v>
                </c:pt>
                <c:pt idx="57">
                  <c:v>69.8</c:v>
                </c:pt>
                <c:pt idx="58">
                  <c:v>71</c:v>
                </c:pt>
                <c:pt idx="59">
                  <c:v>71.2</c:v>
                </c:pt>
                <c:pt idx="60">
                  <c:v>69.3</c:v>
                </c:pt>
                <c:pt idx="61">
                  <c:v>67.7</c:v>
                </c:pt>
                <c:pt idx="62">
                  <c:v>67.2</c:v>
                </c:pt>
                <c:pt idx="63">
                  <c:v>65.2</c:v>
                </c:pt>
                <c:pt idx="64">
                  <c:v>63.7</c:v>
                </c:pt>
                <c:pt idx="65">
                  <c:v>64</c:v>
                </c:pt>
                <c:pt idx="66">
                  <c:v>64.2</c:v>
                </c:pt>
                <c:pt idx="67">
                  <c:v>64.099999999999994</c:v>
                </c:pt>
                <c:pt idx="68">
                  <c:v>63.8</c:v>
                </c:pt>
                <c:pt idx="69">
                  <c:v>64.3</c:v>
                </c:pt>
                <c:pt idx="70">
                  <c:v>64.5</c:v>
                </c:pt>
                <c:pt idx="71">
                  <c:v>64.2</c:v>
                </c:pt>
                <c:pt idx="72">
                  <c:v>63.8</c:v>
                </c:pt>
                <c:pt idx="73">
                  <c:v>64.2</c:v>
                </c:pt>
                <c:pt idx="74">
                  <c:v>64.2</c:v>
                </c:pt>
                <c:pt idx="75">
                  <c:v>63.4</c:v>
                </c:pt>
                <c:pt idx="76">
                  <c:v>63.1</c:v>
                </c:pt>
                <c:pt idx="77">
                  <c:v>62.9</c:v>
                </c:pt>
                <c:pt idx="78">
                  <c:v>63.4</c:v>
                </c:pt>
                <c:pt idx="79">
                  <c:v>62.3</c:v>
                </c:pt>
              </c:numCache>
            </c:numRef>
          </c:val>
          <c:smooth val="0"/>
        </c:ser>
        <c:ser>
          <c:idx val="7"/>
          <c:order val="4"/>
          <c:tx>
            <c:strRef>
              <c:f>'podľa vzdelania'!$A$8</c:f>
              <c:strCache>
                <c:ptCount val="1"/>
                <c:pt idx="0">
                  <c:v>  Stredné odborné (učňovské) bez maturity</c:v>
                </c:pt>
              </c:strCache>
            </c:strRef>
          </c:tx>
          <c:marker>
            <c:symbol val="none"/>
          </c:marker>
          <c:val>
            <c:numRef>
              <c:f>'podľa vzdelania'!$B$8:$CH$8</c:f>
              <c:numCache>
                <c:formatCode>General</c:formatCode>
                <c:ptCount val="85"/>
                <c:pt idx="80">
                  <c:v>62.3</c:v>
                </c:pt>
                <c:pt idx="81">
                  <c:v>63.2</c:v>
                </c:pt>
                <c:pt idx="82">
                  <c:v>64.7</c:v>
                </c:pt>
                <c:pt idx="83">
                  <c:v>64.7</c:v>
                </c:pt>
                <c:pt idx="84">
                  <c:v>64.599999999999994</c:v>
                </c:pt>
              </c:numCache>
            </c:numRef>
          </c:val>
          <c:smooth val="0"/>
        </c:ser>
        <c:ser>
          <c:idx val="5"/>
          <c:order val="5"/>
          <c:tx>
            <c:strRef>
              <c:f>'C:\Users\PETERG~1\AppData\Local\Temp\[dataTab.xls]dataTab'!$A$4</c:f>
              <c:strCache>
                <c:ptCount val="1"/>
                <c:pt idx="0">
                  <c:v>  Stupeň vzdelania spolu</c:v>
                </c:pt>
              </c:strCache>
            </c:strRef>
          </c:tx>
          <c:marker>
            <c:symbol val="none"/>
          </c:marker>
          <c:cat>
            <c:strRef>
              <c:f>'C:\Users\PETERG~1\AppData\Local\Temp\[dataTab.xls]dataTab'!$B$2:$CH$2</c:f>
              <c:strCache>
                <c:ptCount val="85"/>
                <c:pt idx="0">
                  <c:v>1994Q1</c:v>
                </c:pt>
                <c:pt idx="1">
                  <c:v>1994Q2</c:v>
                </c:pt>
                <c:pt idx="2">
                  <c:v>1994Q3</c:v>
                </c:pt>
                <c:pt idx="3">
                  <c:v>1994Q4</c:v>
                </c:pt>
                <c:pt idx="4">
                  <c:v>1995Q1</c:v>
                </c:pt>
                <c:pt idx="5">
                  <c:v>1995Q2</c:v>
                </c:pt>
                <c:pt idx="6">
                  <c:v>1995Q3</c:v>
                </c:pt>
                <c:pt idx="7">
                  <c:v>1995Q4</c:v>
                </c:pt>
                <c:pt idx="8">
                  <c:v>1996Q1</c:v>
                </c:pt>
                <c:pt idx="9">
                  <c:v>1996Q2</c:v>
                </c:pt>
                <c:pt idx="10">
                  <c:v>1996Q3</c:v>
                </c:pt>
                <c:pt idx="11">
                  <c:v>1996Q4</c:v>
                </c:pt>
                <c:pt idx="12">
                  <c:v>1997Q1</c:v>
                </c:pt>
                <c:pt idx="13">
                  <c:v>1997Q2</c:v>
                </c:pt>
                <c:pt idx="14">
                  <c:v>1997Q3</c:v>
                </c:pt>
                <c:pt idx="15">
                  <c:v>1997Q4</c:v>
                </c:pt>
                <c:pt idx="16">
                  <c:v>1998Q1</c:v>
                </c:pt>
                <c:pt idx="17">
                  <c:v>1998Q2</c:v>
                </c:pt>
                <c:pt idx="18">
                  <c:v>1998Q3</c:v>
                </c:pt>
                <c:pt idx="19">
                  <c:v>1998Q4</c:v>
                </c:pt>
                <c:pt idx="20">
                  <c:v>1999Q1</c:v>
                </c:pt>
                <c:pt idx="21">
                  <c:v>1999Q2</c:v>
                </c:pt>
                <c:pt idx="22">
                  <c:v>1999Q3</c:v>
                </c:pt>
                <c:pt idx="23">
                  <c:v>1999Q4</c:v>
                </c:pt>
                <c:pt idx="24">
                  <c:v>2000Q1</c:v>
                </c:pt>
                <c:pt idx="25">
                  <c:v>2000Q2</c:v>
                </c:pt>
                <c:pt idx="26">
                  <c:v>2000Q3</c:v>
                </c:pt>
                <c:pt idx="27">
                  <c:v>2000Q4</c:v>
                </c:pt>
                <c:pt idx="28">
                  <c:v>2001Q1</c:v>
                </c:pt>
                <c:pt idx="29">
                  <c:v>2001Q2</c:v>
                </c:pt>
                <c:pt idx="30">
                  <c:v>2001Q3</c:v>
                </c:pt>
                <c:pt idx="31">
                  <c:v>2001Q4</c:v>
                </c:pt>
                <c:pt idx="32">
                  <c:v>2002Q1</c:v>
                </c:pt>
                <c:pt idx="33">
                  <c:v>2002Q2</c:v>
                </c:pt>
                <c:pt idx="34">
                  <c:v>2002Q3</c:v>
                </c:pt>
                <c:pt idx="35">
                  <c:v>2002Q4</c:v>
                </c:pt>
                <c:pt idx="36">
                  <c:v>2003Q1</c:v>
                </c:pt>
                <c:pt idx="37">
                  <c:v>2003Q2</c:v>
                </c:pt>
                <c:pt idx="38">
                  <c:v>2003Q3</c:v>
                </c:pt>
                <c:pt idx="39">
                  <c:v>2003Q4</c:v>
                </c:pt>
                <c:pt idx="40">
                  <c:v>2004Q1</c:v>
                </c:pt>
                <c:pt idx="41">
                  <c:v>2004Q2</c:v>
                </c:pt>
                <c:pt idx="42">
                  <c:v>2004Q3</c:v>
                </c:pt>
                <c:pt idx="43">
                  <c:v>2004Q4</c:v>
                </c:pt>
                <c:pt idx="44">
                  <c:v>2005Q1</c:v>
                </c:pt>
                <c:pt idx="45">
                  <c:v>2005Q2</c:v>
                </c:pt>
                <c:pt idx="46">
                  <c:v>2005Q3</c:v>
                </c:pt>
                <c:pt idx="47">
                  <c:v>2005Q4</c:v>
                </c:pt>
                <c:pt idx="48">
                  <c:v>2006Q1</c:v>
                </c:pt>
                <c:pt idx="49">
                  <c:v>2006Q2</c:v>
                </c:pt>
                <c:pt idx="50">
                  <c:v>2006Q3</c:v>
                </c:pt>
                <c:pt idx="51">
                  <c:v>2006Q4</c:v>
                </c:pt>
                <c:pt idx="52">
                  <c:v>2007Q1</c:v>
                </c:pt>
                <c:pt idx="53">
                  <c:v>2007Q2</c:v>
                </c:pt>
                <c:pt idx="54">
                  <c:v>2007Q3</c:v>
                </c:pt>
                <c:pt idx="55">
                  <c:v>2007Q4</c:v>
                </c:pt>
                <c:pt idx="56">
                  <c:v>2008Q1</c:v>
                </c:pt>
                <c:pt idx="57">
                  <c:v>2008Q2</c:v>
                </c:pt>
                <c:pt idx="58">
                  <c:v>2008Q3</c:v>
                </c:pt>
                <c:pt idx="59">
                  <c:v>2008Q4</c:v>
                </c:pt>
                <c:pt idx="60">
                  <c:v>2009Q1</c:v>
                </c:pt>
                <c:pt idx="61">
                  <c:v>2009Q2</c:v>
                </c:pt>
                <c:pt idx="62">
                  <c:v>2009Q3</c:v>
                </c:pt>
                <c:pt idx="63">
                  <c:v>2009Q4</c:v>
                </c:pt>
                <c:pt idx="64">
                  <c:v>2010Q1</c:v>
                </c:pt>
                <c:pt idx="65">
                  <c:v>2010Q2</c:v>
                </c:pt>
                <c:pt idx="66">
                  <c:v>2010Q3</c:v>
                </c:pt>
                <c:pt idx="67">
                  <c:v>2010Q4</c:v>
                </c:pt>
                <c:pt idx="68">
                  <c:v>2011Q1</c:v>
                </c:pt>
                <c:pt idx="69">
                  <c:v>2011Q2</c:v>
                </c:pt>
                <c:pt idx="70">
                  <c:v>2011Q3</c:v>
                </c:pt>
                <c:pt idx="71">
                  <c:v>2011Q4</c:v>
                </c:pt>
                <c:pt idx="72">
                  <c:v>2012Q1</c:v>
                </c:pt>
                <c:pt idx="73">
                  <c:v>2012Q2</c:v>
                </c:pt>
                <c:pt idx="74">
                  <c:v>2012Q3</c:v>
                </c:pt>
                <c:pt idx="75">
                  <c:v>2012Q4</c:v>
                </c:pt>
                <c:pt idx="76">
                  <c:v>2013Q1</c:v>
                </c:pt>
                <c:pt idx="77">
                  <c:v>2013Q2</c:v>
                </c:pt>
                <c:pt idx="78">
                  <c:v>2013Q3</c:v>
                </c:pt>
                <c:pt idx="79">
                  <c:v>2013Q4</c:v>
                </c:pt>
                <c:pt idx="80">
                  <c:v>2014Q1</c:v>
                </c:pt>
                <c:pt idx="81">
                  <c:v>2014Q2</c:v>
                </c:pt>
                <c:pt idx="82">
                  <c:v>2014Q3</c:v>
                </c:pt>
                <c:pt idx="83">
                  <c:v>2014Q4</c:v>
                </c:pt>
                <c:pt idx="84">
                  <c:v>2015Q1</c:v>
                </c:pt>
              </c:strCache>
            </c:strRef>
          </c:cat>
          <c:val>
            <c:numRef>
              <c:f>'C:\Users\PETERG~1\AppData\Local\Temp\[dataTab.xls]dataTab'!$B$4:$CH$4</c:f>
              <c:numCache>
                <c:formatCode>General</c:formatCode>
                <c:ptCount val="85"/>
                <c:pt idx="0">
                  <c:v>60</c:v>
                </c:pt>
                <c:pt idx="1">
                  <c:v>59.6</c:v>
                </c:pt>
                <c:pt idx="2">
                  <c:v>60</c:v>
                </c:pt>
                <c:pt idx="3">
                  <c:v>59.8</c:v>
                </c:pt>
                <c:pt idx="4">
                  <c:v>59.4</c:v>
                </c:pt>
                <c:pt idx="5">
                  <c:v>59.9</c:v>
                </c:pt>
                <c:pt idx="6">
                  <c:v>60.5</c:v>
                </c:pt>
                <c:pt idx="7">
                  <c:v>60.9</c:v>
                </c:pt>
                <c:pt idx="8">
                  <c:v>61.2</c:v>
                </c:pt>
                <c:pt idx="9">
                  <c:v>61.6</c:v>
                </c:pt>
                <c:pt idx="10">
                  <c:v>62.3</c:v>
                </c:pt>
                <c:pt idx="11">
                  <c:v>62.2</c:v>
                </c:pt>
                <c:pt idx="12">
                  <c:v>61.1</c:v>
                </c:pt>
                <c:pt idx="13">
                  <c:v>60.8</c:v>
                </c:pt>
                <c:pt idx="14">
                  <c:v>60.6</c:v>
                </c:pt>
                <c:pt idx="15">
                  <c:v>60.6</c:v>
                </c:pt>
                <c:pt idx="16">
                  <c:v>60</c:v>
                </c:pt>
                <c:pt idx="17">
                  <c:v>60.1</c:v>
                </c:pt>
                <c:pt idx="18">
                  <c:v>60.1</c:v>
                </c:pt>
                <c:pt idx="19">
                  <c:v>60</c:v>
                </c:pt>
                <c:pt idx="20">
                  <c:v>58.4</c:v>
                </c:pt>
                <c:pt idx="21">
                  <c:v>57.6</c:v>
                </c:pt>
                <c:pt idx="22">
                  <c:v>57.6</c:v>
                </c:pt>
                <c:pt idx="23">
                  <c:v>57.4</c:v>
                </c:pt>
                <c:pt idx="24">
                  <c:v>56.2</c:v>
                </c:pt>
                <c:pt idx="25">
                  <c:v>56</c:v>
                </c:pt>
                <c:pt idx="26">
                  <c:v>56.6</c:v>
                </c:pt>
                <c:pt idx="27">
                  <c:v>57</c:v>
                </c:pt>
                <c:pt idx="28">
                  <c:v>55.9</c:v>
                </c:pt>
                <c:pt idx="29">
                  <c:v>56.4</c:v>
                </c:pt>
                <c:pt idx="30">
                  <c:v>56.9</c:v>
                </c:pt>
                <c:pt idx="31">
                  <c:v>56.9</c:v>
                </c:pt>
                <c:pt idx="32">
                  <c:v>56</c:v>
                </c:pt>
                <c:pt idx="33">
                  <c:v>56.3</c:v>
                </c:pt>
                <c:pt idx="34">
                  <c:v>57</c:v>
                </c:pt>
                <c:pt idx="35">
                  <c:v>57.3</c:v>
                </c:pt>
                <c:pt idx="36">
                  <c:v>56.7</c:v>
                </c:pt>
                <c:pt idx="37">
                  <c:v>57.7</c:v>
                </c:pt>
                <c:pt idx="38">
                  <c:v>58.2</c:v>
                </c:pt>
                <c:pt idx="39">
                  <c:v>57.7</c:v>
                </c:pt>
                <c:pt idx="40">
                  <c:v>56</c:v>
                </c:pt>
                <c:pt idx="41">
                  <c:v>56.6</c:v>
                </c:pt>
                <c:pt idx="42">
                  <c:v>57.5</c:v>
                </c:pt>
                <c:pt idx="43">
                  <c:v>57.4</c:v>
                </c:pt>
                <c:pt idx="44">
                  <c:v>56.8</c:v>
                </c:pt>
                <c:pt idx="45">
                  <c:v>57.4</c:v>
                </c:pt>
                <c:pt idx="46">
                  <c:v>58</c:v>
                </c:pt>
                <c:pt idx="47">
                  <c:v>58.5</c:v>
                </c:pt>
                <c:pt idx="48">
                  <c:v>58.3</c:v>
                </c:pt>
                <c:pt idx="49">
                  <c:v>59.2</c:v>
                </c:pt>
                <c:pt idx="50">
                  <c:v>59.9</c:v>
                </c:pt>
                <c:pt idx="51">
                  <c:v>60.2</c:v>
                </c:pt>
                <c:pt idx="52">
                  <c:v>60.1</c:v>
                </c:pt>
                <c:pt idx="53">
                  <c:v>60.4</c:v>
                </c:pt>
                <c:pt idx="54">
                  <c:v>60.7</c:v>
                </c:pt>
                <c:pt idx="55">
                  <c:v>61.5</c:v>
                </c:pt>
                <c:pt idx="56">
                  <c:v>61.3</c:v>
                </c:pt>
                <c:pt idx="57">
                  <c:v>61.7</c:v>
                </c:pt>
                <c:pt idx="58">
                  <c:v>63.1</c:v>
                </c:pt>
                <c:pt idx="59">
                  <c:v>62.9</c:v>
                </c:pt>
                <c:pt idx="60">
                  <c:v>60.9</c:v>
                </c:pt>
                <c:pt idx="61">
                  <c:v>60.4</c:v>
                </c:pt>
                <c:pt idx="62">
                  <c:v>60.1</c:v>
                </c:pt>
                <c:pt idx="63">
                  <c:v>59.1</c:v>
                </c:pt>
                <c:pt idx="64">
                  <c:v>58</c:v>
                </c:pt>
                <c:pt idx="65">
                  <c:v>58.6</c:v>
                </c:pt>
                <c:pt idx="66">
                  <c:v>59.2</c:v>
                </c:pt>
                <c:pt idx="67">
                  <c:v>59.3</c:v>
                </c:pt>
                <c:pt idx="68">
                  <c:v>58.9</c:v>
                </c:pt>
                <c:pt idx="69">
                  <c:v>59.4</c:v>
                </c:pt>
                <c:pt idx="70">
                  <c:v>59.7</c:v>
                </c:pt>
                <c:pt idx="71">
                  <c:v>59.3</c:v>
                </c:pt>
                <c:pt idx="72">
                  <c:v>59.6</c:v>
                </c:pt>
                <c:pt idx="73">
                  <c:v>59.8</c:v>
                </c:pt>
                <c:pt idx="74">
                  <c:v>60.1</c:v>
                </c:pt>
                <c:pt idx="75">
                  <c:v>59.4</c:v>
                </c:pt>
                <c:pt idx="76">
                  <c:v>59.8</c:v>
                </c:pt>
                <c:pt idx="77">
                  <c:v>59.8</c:v>
                </c:pt>
                <c:pt idx="78">
                  <c:v>60</c:v>
                </c:pt>
                <c:pt idx="79">
                  <c:v>59.8</c:v>
                </c:pt>
                <c:pt idx="80">
                  <c:v>60.2</c:v>
                </c:pt>
                <c:pt idx="81">
                  <c:v>60.7</c:v>
                </c:pt>
                <c:pt idx="82">
                  <c:v>61.3</c:v>
                </c:pt>
                <c:pt idx="83">
                  <c:v>61.7</c:v>
                </c:pt>
                <c:pt idx="84">
                  <c:v>61.9</c:v>
                </c:pt>
              </c:numCache>
            </c:numRef>
          </c:val>
          <c:smooth val="0"/>
        </c:ser>
        <c:ser>
          <c:idx val="3"/>
          <c:order val="6"/>
          <c:tx>
            <c:strRef>
              <c:f>'C:\Users\PETERG~1\AppData\Local\Temp\[dataTab.xls]dataTab'!$A$10</c:f>
              <c:strCache>
                <c:ptCount val="1"/>
                <c:pt idx="0">
                  <c:v>  Úplné stredné všeobecné</c:v>
                </c:pt>
              </c:strCache>
            </c:strRef>
          </c:tx>
          <c:marker>
            <c:symbol val="none"/>
          </c:marker>
          <c:cat>
            <c:strRef>
              <c:f>'C:\Users\PETERG~1\AppData\Local\Temp\[dataTab.xls]dataTab'!$B$2:$CH$2</c:f>
              <c:strCache>
                <c:ptCount val="85"/>
                <c:pt idx="0">
                  <c:v>1994Q1</c:v>
                </c:pt>
                <c:pt idx="1">
                  <c:v>1994Q2</c:v>
                </c:pt>
                <c:pt idx="2">
                  <c:v>1994Q3</c:v>
                </c:pt>
                <c:pt idx="3">
                  <c:v>1994Q4</c:v>
                </c:pt>
                <c:pt idx="4">
                  <c:v>1995Q1</c:v>
                </c:pt>
                <c:pt idx="5">
                  <c:v>1995Q2</c:v>
                </c:pt>
                <c:pt idx="6">
                  <c:v>1995Q3</c:v>
                </c:pt>
                <c:pt idx="7">
                  <c:v>1995Q4</c:v>
                </c:pt>
                <c:pt idx="8">
                  <c:v>1996Q1</c:v>
                </c:pt>
                <c:pt idx="9">
                  <c:v>1996Q2</c:v>
                </c:pt>
                <c:pt idx="10">
                  <c:v>1996Q3</c:v>
                </c:pt>
                <c:pt idx="11">
                  <c:v>1996Q4</c:v>
                </c:pt>
                <c:pt idx="12">
                  <c:v>1997Q1</c:v>
                </c:pt>
                <c:pt idx="13">
                  <c:v>1997Q2</c:v>
                </c:pt>
                <c:pt idx="14">
                  <c:v>1997Q3</c:v>
                </c:pt>
                <c:pt idx="15">
                  <c:v>1997Q4</c:v>
                </c:pt>
                <c:pt idx="16">
                  <c:v>1998Q1</c:v>
                </c:pt>
                <c:pt idx="17">
                  <c:v>1998Q2</c:v>
                </c:pt>
                <c:pt idx="18">
                  <c:v>1998Q3</c:v>
                </c:pt>
                <c:pt idx="19">
                  <c:v>1998Q4</c:v>
                </c:pt>
                <c:pt idx="20">
                  <c:v>1999Q1</c:v>
                </c:pt>
                <c:pt idx="21">
                  <c:v>1999Q2</c:v>
                </c:pt>
                <c:pt idx="22">
                  <c:v>1999Q3</c:v>
                </c:pt>
                <c:pt idx="23">
                  <c:v>1999Q4</c:v>
                </c:pt>
                <c:pt idx="24">
                  <c:v>2000Q1</c:v>
                </c:pt>
                <c:pt idx="25">
                  <c:v>2000Q2</c:v>
                </c:pt>
                <c:pt idx="26">
                  <c:v>2000Q3</c:v>
                </c:pt>
                <c:pt idx="27">
                  <c:v>2000Q4</c:v>
                </c:pt>
                <c:pt idx="28">
                  <c:v>2001Q1</c:v>
                </c:pt>
                <c:pt idx="29">
                  <c:v>2001Q2</c:v>
                </c:pt>
                <c:pt idx="30">
                  <c:v>2001Q3</c:v>
                </c:pt>
                <c:pt idx="31">
                  <c:v>2001Q4</c:v>
                </c:pt>
                <c:pt idx="32">
                  <c:v>2002Q1</c:v>
                </c:pt>
                <c:pt idx="33">
                  <c:v>2002Q2</c:v>
                </c:pt>
                <c:pt idx="34">
                  <c:v>2002Q3</c:v>
                </c:pt>
                <c:pt idx="35">
                  <c:v>2002Q4</c:v>
                </c:pt>
                <c:pt idx="36">
                  <c:v>2003Q1</c:v>
                </c:pt>
                <c:pt idx="37">
                  <c:v>2003Q2</c:v>
                </c:pt>
                <c:pt idx="38">
                  <c:v>2003Q3</c:v>
                </c:pt>
                <c:pt idx="39">
                  <c:v>2003Q4</c:v>
                </c:pt>
                <c:pt idx="40">
                  <c:v>2004Q1</c:v>
                </c:pt>
                <c:pt idx="41">
                  <c:v>2004Q2</c:v>
                </c:pt>
                <c:pt idx="42">
                  <c:v>2004Q3</c:v>
                </c:pt>
                <c:pt idx="43">
                  <c:v>2004Q4</c:v>
                </c:pt>
                <c:pt idx="44">
                  <c:v>2005Q1</c:v>
                </c:pt>
                <c:pt idx="45">
                  <c:v>2005Q2</c:v>
                </c:pt>
                <c:pt idx="46">
                  <c:v>2005Q3</c:v>
                </c:pt>
                <c:pt idx="47">
                  <c:v>2005Q4</c:v>
                </c:pt>
                <c:pt idx="48">
                  <c:v>2006Q1</c:v>
                </c:pt>
                <c:pt idx="49">
                  <c:v>2006Q2</c:v>
                </c:pt>
                <c:pt idx="50">
                  <c:v>2006Q3</c:v>
                </c:pt>
                <c:pt idx="51">
                  <c:v>2006Q4</c:v>
                </c:pt>
                <c:pt idx="52">
                  <c:v>2007Q1</c:v>
                </c:pt>
                <c:pt idx="53">
                  <c:v>2007Q2</c:v>
                </c:pt>
                <c:pt idx="54">
                  <c:v>2007Q3</c:v>
                </c:pt>
                <c:pt idx="55">
                  <c:v>2007Q4</c:v>
                </c:pt>
                <c:pt idx="56">
                  <c:v>2008Q1</c:v>
                </c:pt>
                <c:pt idx="57">
                  <c:v>2008Q2</c:v>
                </c:pt>
                <c:pt idx="58">
                  <c:v>2008Q3</c:v>
                </c:pt>
                <c:pt idx="59">
                  <c:v>2008Q4</c:v>
                </c:pt>
                <c:pt idx="60">
                  <c:v>2009Q1</c:v>
                </c:pt>
                <c:pt idx="61">
                  <c:v>2009Q2</c:v>
                </c:pt>
                <c:pt idx="62">
                  <c:v>2009Q3</c:v>
                </c:pt>
                <c:pt idx="63">
                  <c:v>2009Q4</c:v>
                </c:pt>
                <c:pt idx="64">
                  <c:v>2010Q1</c:v>
                </c:pt>
                <c:pt idx="65">
                  <c:v>2010Q2</c:v>
                </c:pt>
                <c:pt idx="66">
                  <c:v>2010Q3</c:v>
                </c:pt>
                <c:pt idx="67">
                  <c:v>2010Q4</c:v>
                </c:pt>
                <c:pt idx="68">
                  <c:v>2011Q1</c:v>
                </c:pt>
                <c:pt idx="69">
                  <c:v>2011Q2</c:v>
                </c:pt>
                <c:pt idx="70">
                  <c:v>2011Q3</c:v>
                </c:pt>
                <c:pt idx="71">
                  <c:v>2011Q4</c:v>
                </c:pt>
                <c:pt idx="72">
                  <c:v>2012Q1</c:v>
                </c:pt>
                <c:pt idx="73">
                  <c:v>2012Q2</c:v>
                </c:pt>
                <c:pt idx="74">
                  <c:v>2012Q3</c:v>
                </c:pt>
                <c:pt idx="75">
                  <c:v>2012Q4</c:v>
                </c:pt>
                <c:pt idx="76">
                  <c:v>2013Q1</c:v>
                </c:pt>
                <c:pt idx="77">
                  <c:v>2013Q2</c:v>
                </c:pt>
                <c:pt idx="78">
                  <c:v>2013Q3</c:v>
                </c:pt>
                <c:pt idx="79">
                  <c:v>2013Q4</c:v>
                </c:pt>
                <c:pt idx="80">
                  <c:v>2014Q1</c:v>
                </c:pt>
                <c:pt idx="81">
                  <c:v>2014Q2</c:v>
                </c:pt>
                <c:pt idx="82">
                  <c:v>2014Q3</c:v>
                </c:pt>
                <c:pt idx="83">
                  <c:v>2014Q4</c:v>
                </c:pt>
                <c:pt idx="84">
                  <c:v>2015Q1</c:v>
                </c:pt>
              </c:strCache>
            </c:strRef>
          </c:cat>
          <c:val>
            <c:numRef>
              <c:f>'C:\Users\PETERG~1\AppData\Local\Temp\[dataTab.xls]dataTab'!$B$10:$CH$10</c:f>
              <c:numCache>
                <c:formatCode>General</c:formatCode>
                <c:ptCount val="85"/>
                <c:pt idx="0">
                  <c:v>47.1</c:v>
                </c:pt>
                <c:pt idx="1">
                  <c:v>47.5</c:v>
                </c:pt>
                <c:pt idx="2">
                  <c:v>48.8</c:v>
                </c:pt>
                <c:pt idx="3">
                  <c:v>46.8</c:v>
                </c:pt>
                <c:pt idx="4">
                  <c:v>46.1</c:v>
                </c:pt>
                <c:pt idx="5">
                  <c:v>45</c:v>
                </c:pt>
                <c:pt idx="6">
                  <c:v>45.6</c:v>
                </c:pt>
                <c:pt idx="7">
                  <c:v>44.8</c:v>
                </c:pt>
                <c:pt idx="8">
                  <c:v>47.1</c:v>
                </c:pt>
                <c:pt idx="9">
                  <c:v>47.1</c:v>
                </c:pt>
                <c:pt idx="10">
                  <c:v>48.7</c:v>
                </c:pt>
                <c:pt idx="11">
                  <c:v>47.4</c:v>
                </c:pt>
                <c:pt idx="12">
                  <c:v>48.4</c:v>
                </c:pt>
                <c:pt idx="13">
                  <c:v>47.8</c:v>
                </c:pt>
                <c:pt idx="14">
                  <c:v>47.7</c:v>
                </c:pt>
                <c:pt idx="15">
                  <c:v>48.1</c:v>
                </c:pt>
                <c:pt idx="16">
                  <c:v>49.2</c:v>
                </c:pt>
                <c:pt idx="17">
                  <c:v>50.3</c:v>
                </c:pt>
                <c:pt idx="18">
                  <c:v>50.8</c:v>
                </c:pt>
                <c:pt idx="19">
                  <c:v>47.7</c:v>
                </c:pt>
                <c:pt idx="20">
                  <c:v>47.3</c:v>
                </c:pt>
                <c:pt idx="21">
                  <c:v>48.5</c:v>
                </c:pt>
                <c:pt idx="22">
                  <c:v>46.7</c:v>
                </c:pt>
                <c:pt idx="23">
                  <c:v>47.1</c:v>
                </c:pt>
                <c:pt idx="24">
                  <c:v>47.8</c:v>
                </c:pt>
                <c:pt idx="25">
                  <c:v>46</c:v>
                </c:pt>
                <c:pt idx="26">
                  <c:v>44.9</c:v>
                </c:pt>
                <c:pt idx="27">
                  <c:v>45.8</c:v>
                </c:pt>
                <c:pt idx="28">
                  <c:v>45.4</c:v>
                </c:pt>
                <c:pt idx="29">
                  <c:v>45</c:v>
                </c:pt>
                <c:pt idx="30">
                  <c:v>44.4</c:v>
                </c:pt>
                <c:pt idx="31">
                  <c:v>44.4</c:v>
                </c:pt>
                <c:pt idx="32">
                  <c:v>42.1</c:v>
                </c:pt>
                <c:pt idx="33">
                  <c:v>42.1</c:v>
                </c:pt>
                <c:pt idx="34">
                  <c:v>40.799999999999997</c:v>
                </c:pt>
                <c:pt idx="35">
                  <c:v>39.799999999999997</c:v>
                </c:pt>
                <c:pt idx="36">
                  <c:v>40.200000000000003</c:v>
                </c:pt>
                <c:pt idx="37">
                  <c:v>39.299999999999997</c:v>
                </c:pt>
                <c:pt idx="38">
                  <c:v>42.5</c:v>
                </c:pt>
                <c:pt idx="39">
                  <c:v>41.7</c:v>
                </c:pt>
                <c:pt idx="40">
                  <c:v>41.7</c:v>
                </c:pt>
                <c:pt idx="41">
                  <c:v>42.5</c:v>
                </c:pt>
                <c:pt idx="42">
                  <c:v>44.5</c:v>
                </c:pt>
                <c:pt idx="43">
                  <c:v>42.4</c:v>
                </c:pt>
                <c:pt idx="44">
                  <c:v>43.2</c:v>
                </c:pt>
                <c:pt idx="45">
                  <c:v>42.5</c:v>
                </c:pt>
                <c:pt idx="46">
                  <c:v>40.799999999999997</c:v>
                </c:pt>
                <c:pt idx="47">
                  <c:v>41</c:v>
                </c:pt>
                <c:pt idx="48">
                  <c:v>41.2</c:v>
                </c:pt>
                <c:pt idx="49">
                  <c:v>42.2</c:v>
                </c:pt>
                <c:pt idx="50">
                  <c:v>41.6</c:v>
                </c:pt>
                <c:pt idx="51">
                  <c:v>40.5</c:v>
                </c:pt>
                <c:pt idx="52">
                  <c:v>41.4</c:v>
                </c:pt>
                <c:pt idx="53">
                  <c:v>41.6</c:v>
                </c:pt>
                <c:pt idx="54">
                  <c:v>41.5</c:v>
                </c:pt>
                <c:pt idx="55">
                  <c:v>43.2</c:v>
                </c:pt>
                <c:pt idx="56">
                  <c:v>43.1</c:v>
                </c:pt>
                <c:pt idx="57">
                  <c:v>41.4</c:v>
                </c:pt>
                <c:pt idx="58">
                  <c:v>41.3</c:v>
                </c:pt>
                <c:pt idx="59">
                  <c:v>41.5</c:v>
                </c:pt>
                <c:pt idx="60">
                  <c:v>37.6</c:v>
                </c:pt>
                <c:pt idx="61">
                  <c:v>39.6</c:v>
                </c:pt>
                <c:pt idx="62">
                  <c:v>39.700000000000003</c:v>
                </c:pt>
                <c:pt idx="63">
                  <c:v>38.6</c:v>
                </c:pt>
                <c:pt idx="64">
                  <c:v>38.799999999999997</c:v>
                </c:pt>
                <c:pt idx="65">
                  <c:v>39.700000000000003</c:v>
                </c:pt>
                <c:pt idx="66">
                  <c:v>38.1</c:v>
                </c:pt>
                <c:pt idx="67">
                  <c:v>39.4</c:v>
                </c:pt>
                <c:pt idx="68">
                  <c:v>40.700000000000003</c:v>
                </c:pt>
                <c:pt idx="69">
                  <c:v>40.700000000000003</c:v>
                </c:pt>
                <c:pt idx="70">
                  <c:v>39.799999999999997</c:v>
                </c:pt>
                <c:pt idx="71">
                  <c:v>39.1</c:v>
                </c:pt>
                <c:pt idx="72">
                  <c:v>40.6</c:v>
                </c:pt>
                <c:pt idx="73">
                  <c:v>42.2</c:v>
                </c:pt>
                <c:pt idx="74">
                  <c:v>40.5</c:v>
                </c:pt>
                <c:pt idx="75">
                  <c:v>39.9</c:v>
                </c:pt>
                <c:pt idx="76">
                  <c:v>41.1</c:v>
                </c:pt>
                <c:pt idx="77">
                  <c:v>42.9</c:v>
                </c:pt>
                <c:pt idx="78">
                  <c:v>41.6</c:v>
                </c:pt>
                <c:pt idx="79">
                  <c:v>41</c:v>
                </c:pt>
                <c:pt idx="80">
                  <c:v>40.6</c:v>
                </c:pt>
                <c:pt idx="81">
                  <c:v>40</c:v>
                </c:pt>
                <c:pt idx="82">
                  <c:v>39.299999999999997</c:v>
                </c:pt>
                <c:pt idx="83">
                  <c:v>40.5</c:v>
                </c:pt>
                <c:pt idx="84">
                  <c:v>42.2</c:v>
                </c:pt>
              </c:numCache>
            </c:numRef>
          </c:val>
          <c:smooth val="0"/>
        </c:ser>
        <c:ser>
          <c:idx val="0"/>
          <c:order val="7"/>
          <c:tx>
            <c:strRef>
              <c:f>'C:\Users\PETERG~1\AppData\Local\Temp\[dataTab.xls]dataTab'!$A$5</c:f>
              <c:strCache>
                <c:ptCount val="1"/>
                <c:pt idx="0">
                  <c:v>  Základné</c:v>
                </c:pt>
              </c:strCache>
            </c:strRef>
          </c:tx>
          <c:marker>
            <c:symbol val="none"/>
          </c:marker>
          <c:cat>
            <c:strRef>
              <c:f>'C:\Users\PETERG~1\AppData\Local\Temp\[dataTab.xls]dataTab'!$B$2:$CH$2</c:f>
              <c:strCache>
                <c:ptCount val="85"/>
                <c:pt idx="0">
                  <c:v>1994Q1</c:v>
                </c:pt>
                <c:pt idx="1">
                  <c:v>1994Q2</c:v>
                </c:pt>
                <c:pt idx="2">
                  <c:v>1994Q3</c:v>
                </c:pt>
                <c:pt idx="3">
                  <c:v>1994Q4</c:v>
                </c:pt>
                <c:pt idx="4">
                  <c:v>1995Q1</c:v>
                </c:pt>
                <c:pt idx="5">
                  <c:v>1995Q2</c:v>
                </c:pt>
                <c:pt idx="6">
                  <c:v>1995Q3</c:v>
                </c:pt>
                <c:pt idx="7">
                  <c:v>1995Q4</c:v>
                </c:pt>
                <c:pt idx="8">
                  <c:v>1996Q1</c:v>
                </c:pt>
                <c:pt idx="9">
                  <c:v>1996Q2</c:v>
                </c:pt>
                <c:pt idx="10">
                  <c:v>1996Q3</c:v>
                </c:pt>
                <c:pt idx="11">
                  <c:v>1996Q4</c:v>
                </c:pt>
                <c:pt idx="12">
                  <c:v>1997Q1</c:v>
                </c:pt>
                <c:pt idx="13">
                  <c:v>1997Q2</c:v>
                </c:pt>
                <c:pt idx="14">
                  <c:v>1997Q3</c:v>
                </c:pt>
                <c:pt idx="15">
                  <c:v>1997Q4</c:v>
                </c:pt>
                <c:pt idx="16">
                  <c:v>1998Q1</c:v>
                </c:pt>
                <c:pt idx="17">
                  <c:v>1998Q2</c:v>
                </c:pt>
                <c:pt idx="18">
                  <c:v>1998Q3</c:v>
                </c:pt>
                <c:pt idx="19">
                  <c:v>1998Q4</c:v>
                </c:pt>
                <c:pt idx="20">
                  <c:v>1999Q1</c:v>
                </c:pt>
                <c:pt idx="21">
                  <c:v>1999Q2</c:v>
                </c:pt>
                <c:pt idx="22">
                  <c:v>1999Q3</c:v>
                </c:pt>
                <c:pt idx="23">
                  <c:v>1999Q4</c:v>
                </c:pt>
                <c:pt idx="24">
                  <c:v>2000Q1</c:v>
                </c:pt>
                <c:pt idx="25">
                  <c:v>2000Q2</c:v>
                </c:pt>
                <c:pt idx="26">
                  <c:v>2000Q3</c:v>
                </c:pt>
                <c:pt idx="27">
                  <c:v>2000Q4</c:v>
                </c:pt>
                <c:pt idx="28">
                  <c:v>2001Q1</c:v>
                </c:pt>
                <c:pt idx="29">
                  <c:v>2001Q2</c:v>
                </c:pt>
                <c:pt idx="30">
                  <c:v>2001Q3</c:v>
                </c:pt>
                <c:pt idx="31">
                  <c:v>2001Q4</c:v>
                </c:pt>
                <c:pt idx="32">
                  <c:v>2002Q1</c:v>
                </c:pt>
                <c:pt idx="33">
                  <c:v>2002Q2</c:v>
                </c:pt>
                <c:pt idx="34">
                  <c:v>2002Q3</c:v>
                </c:pt>
                <c:pt idx="35">
                  <c:v>2002Q4</c:v>
                </c:pt>
                <c:pt idx="36">
                  <c:v>2003Q1</c:v>
                </c:pt>
                <c:pt idx="37">
                  <c:v>2003Q2</c:v>
                </c:pt>
                <c:pt idx="38">
                  <c:v>2003Q3</c:v>
                </c:pt>
                <c:pt idx="39">
                  <c:v>2003Q4</c:v>
                </c:pt>
                <c:pt idx="40">
                  <c:v>2004Q1</c:v>
                </c:pt>
                <c:pt idx="41">
                  <c:v>2004Q2</c:v>
                </c:pt>
                <c:pt idx="42">
                  <c:v>2004Q3</c:v>
                </c:pt>
                <c:pt idx="43">
                  <c:v>2004Q4</c:v>
                </c:pt>
                <c:pt idx="44">
                  <c:v>2005Q1</c:v>
                </c:pt>
                <c:pt idx="45">
                  <c:v>2005Q2</c:v>
                </c:pt>
                <c:pt idx="46">
                  <c:v>2005Q3</c:v>
                </c:pt>
                <c:pt idx="47">
                  <c:v>2005Q4</c:v>
                </c:pt>
                <c:pt idx="48">
                  <c:v>2006Q1</c:v>
                </c:pt>
                <c:pt idx="49">
                  <c:v>2006Q2</c:v>
                </c:pt>
                <c:pt idx="50">
                  <c:v>2006Q3</c:v>
                </c:pt>
                <c:pt idx="51">
                  <c:v>2006Q4</c:v>
                </c:pt>
                <c:pt idx="52">
                  <c:v>2007Q1</c:v>
                </c:pt>
                <c:pt idx="53">
                  <c:v>2007Q2</c:v>
                </c:pt>
                <c:pt idx="54">
                  <c:v>2007Q3</c:v>
                </c:pt>
                <c:pt idx="55">
                  <c:v>2007Q4</c:v>
                </c:pt>
                <c:pt idx="56">
                  <c:v>2008Q1</c:v>
                </c:pt>
                <c:pt idx="57">
                  <c:v>2008Q2</c:v>
                </c:pt>
                <c:pt idx="58">
                  <c:v>2008Q3</c:v>
                </c:pt>
                <c:pt idx="59">
                  <c:v>2008Q4</c:v>
                </c:pt>
                <c:pt idx="60">
                  <c:v>2009Q1</c:v>
                </c:pt>
                <c:pt idx="61">
                  <c:v>2009Q2</c:v>
                </c:pt>
                <c:pt idx="62">
                  <c:v>2009Q3</c:v>
                </c:pt>
                <c:pt idx="63">
                  <c:v>2009Q4</c:v>
                </c:pt>
                <c:pt idx="64">
                  <c:v>2010Q1</c:v>
                </c:pt>
                <c:pt idx="65">
                  <c:v>2010Q2</c:v>
                </c:pt>
                <c:pt idx="66">
                  <c:v>2010Q3</c:v>
                </c:pt>
                <c:pt idx="67">
                  <c:v>2010Q4</c:v>
                </c:pt>
                <c:pt idx="68">
                  <c:v>2011Q1</c:v>
                </c:pt>
                <c:pt idx="69">
                  <c:v>2011Q2</c:v>
                </c:pt>
                <c:pt idx="70">
                  <c:v>2011Q3</c:v>
                </c:pt>
                <c:pt idx="71">
                  <c:v>2011Q4</c:v>
                </c:pt>
                <c:pt idx="72">
                  <c:v>2012Q1</c:v>
                </c:pt>
                <c:pt idx="73">
                  <c:v>2012Q2</c:v>
                </c:pt>
                <c:pt idx="74">
                  <c:v>2012Q3</c:v>
                </c:pt>
                <c:pt idx="75">
                  <c:v>2012Q4</c:v>
                </c:pt>
                <c:pt idx="76">
                  <c:v>2013Q1</c:v>
                </c:pt>
                <c:pt idx="77">
                  <c:v>2013Q2</c:v>
                </c:pt>
                <c:pt idx="78">
                  <c:v>2013Q3</c:v>
                </c:pt>
                <c:pt idx="79">
                  <c:v>2013Q4</c:v>
                </c:pt>
                <c:pt idx="80">
                  <c:v>2014Q1</c:v>
                </c:pt>
                <c:pt idx="81">
                  <c:v>2014Q2</c:v>
                </c:pt>
                <c:pt idx="82">
                  <c:v>2014Q3</c:v>
                </c:pt>
                <c:pt idx="83">
                  <c:v>2014Q4</c:v>
                </c:pt>
                <c:pt idx="84">
                  <c:v>2015Q1</c:v>
                </c:pt>
              </c:strCache>
            </c:strRef>
          </c:cat>
          <c:val>
            <c:numRef>
              <c:f>'C:\Users\PETERG~1\AppData\Local\Temp\[dataTab.xls]dataTab'!$B$5:$CH$5</c:f>
              <c:numCache>
                <c:formatCode>General</c:formatCode>
                <c:ptCount val="85"/>
                <c:pt idx="0">
                  <c:v>26.9</c:v>
                </c:pt>
                <c:pt idx="1">
                  <c:v>25.1</c:v>
                </c:pt>
                <c:pt idx="2">
                  <c:v>26</c:v>
                </c:pt>
                <c:pt idx="3">
                  <c:v>26.1</c:v>
                </c:pt>
                <c:pt idx="4">
                  <c:v>25.3</c:v>
                </c:pt>
                <c:pt idx="5">
                  <c:v>24.9</c:v>
                </c:pt>
                <c:pt idx="6">
                  <c:v>25.1</c:v>
                </c:pt>
                <c:pt idx="7">
                  <c:v>25.3</c:v>
                </c:pt>
                <c:pt idx="8">
                  <c:v>24.7</c:v>
                </c:pt>
                <c:pt idx="9">
                  <c:v>25.2</c:v>
                </c:pt>
                <c:pt idx="10">
                  <c:v>26.5</c:v>
                </c:pt>
                <c:pt idx="11">
                  <c:v>26.9</c:v>
                </c:pt>
                <c:pt idx="12">
                  <c:v>26.4</c:v>
                </c:pt>
                <c:pt idx="13">
                  <c:v>25.5</c:v>
                </c:pt>
                <c:pt idx="14">
                  <c:v>25.1</c:v>
                </c:pt>
                <c:pt idx="15">
                  <c:v>25.5</c:v>
                </c:pt>
                <c:pt idx="16">
                  <c:v>24.3</c:v>
                </c:pt>
                <c:pt idx="17">
                  <c:v>23.6</c:v>
                </c:pt>
                <c:pt idx="18">
                  <c:v>24.4</c:v>
                </c:pt>
                <c:pt idx="19">
                  <c:v>24.2</c:v>
                </c:pt>
                <c:pt idx="20">
                  <c:v>21.5</c:v>
                </c:pt>
                <c:pt idx="21">
                  <c:v>21.3</c:v>
                </c:pt>
                <c:pt idx="22">
                  <c:v>21</c:v>
                </c:pt>
                <c:pt idx="23">
                  <c:v>20.6</c:v>
                </c:pt>
                <c:pt idx="24">
                  <c:v>19.5</c:v>
                </c:pt>
                <c:pt idx="25">
                  <c:v>19.100000000000001</c:v>
                </c:pt>
                <c:pt idx="26">
                  <c:v>18.899999999999999</c:v>
                </c:pt>
                <c:pt idx="27">
                  <c:v>19.899999999999999</c:v>
                </c:pt>
                <c:pt idx="28">
                  <c:v>17.399999999999999</c:v>
                </c:pt>
                <c:pt idx="29">
                  <c:v>17.8</c:v>
                </c:pt>
                <c:pt idx="30">
                  <c:v>18</c:v>
                </c:pt>
                <c:pt idx="31">
                  <c:v>17.5</c:v>
                </c:pt>
                <c:pt idx="32">
                  <c:v>15.9</c:v>
                </c:pt>
                <c:pt idx="33">
                  <c:v>16</c:v>
                </c:pt>
                <c:pt idx="34">
                  <c:v>16.100000000000001</c:v>
                </c:pt>
                <c:pt idx="35">
                  <c:v>15.2</c:v>
                </c:pt>
                <c:pt idx="36">
                  <c:v>14.6</c:v>
                </c:pt>
                <c:pt idx="37">
                  <c:v>15.8</c:v>
                </c:pt>
                <c:pt idx="38">
                  <c:v>15.7</c:v>
                </c:pt>
                <c:pt idx="39">
                  <c:v>15.3</c:v>
                </c:pt>
                <c:pt idx="40">
                  <c:v>14</c:v>
                </c:pt>
                <c:pt idx="41">
                  <c:v>14.3</c:v>
                </c:pt>
                <c:pt idx="42">
                  <c:v>14.6</c:v>
                </c:pt>
                <c:pt idx="43">
                  <c:v>14</c:v>
                </c:pt>
                <c:pt idx="44">
                  <c:v>12.5</c:v>
                </c:pt>
                <c:pt idx="45">
                  <c:v>13.3</c:v>
                </c:pt>
                <c:pt idx="46">
                  <c:v>14.2</c:v>
                </c:pt>
                <c:pt idx="47">
                  <c:v>14.1</c:v>
                </c:pt>
                <c:pt idx="48">
                  <c:v>14.3</c:v>
                </c:pt>
                <c:pt idx="49">
                  <c:v>14.7</c:v>
                </c:pt>
                <c:pt idx="50">
                  <c:v>15.1</c:v>
                </c:pt>
                <c:pt idx="51">
                  <c:v>15.1</c:v>
                </c:pt>
                <c:pt idx="52">
                  <c:v>14.7</c:v>
                </c:pt>
                <c:pt idx="53">
                  <c:v>14.8</c:v>
                </c:pt>
                <c:pt idx="54">
                  <c:v>15.5</c:v>
                </c:pt>
                <c:pt idx="55">
                  <c:v>15</c:v>
                </c:pt>
                <c:pt idx="56">
                  <c:v>14.4</c:v>
                </c:pt>
                <c:pt idx="57">
                  <c:v>15.1</c:v>
                </c:pt>
                <c:pt idx="58">
                  <c:v>18.7</c:v>
                </c:pt>
                <c:pt idx="59">
                  <c:v>16.899999999999999</c:v>
                </c:pt>
                <c:pt idx="60">
                  <c:v>14.8</c:v>
                </c:pt>
                <c:pt idx="61">
                  <c:v>14.3</c:v>
                </c:pt>
                <c:pt idx="62">
                  <c:v>15.6</c:v>
                </c:pt>
                <c:pt idx="63">
                  <c:v>14</c:v>
                </c:pt>
                <c:pt idx="64">
                  <c:v>12.9</c:v>
                </c:pt>
                <c:pt idx="65">
                  <c:v>14.7</c:v>
                </c:pt>
                <c:pt idx="66">
                  <c:v>16.2</c:v>
                </c:pt>
                <c:pt idx="67">
                  <c:v>14.3</c:v>
                </c:pt>
                <c:pt idx="68">
                  <c:v>14.7</c:v>
                </c:pt>
                <c:pt idx="69">
                  <c:v>15.5</c:v>
                </c:pt>
                <c:pt idx="70">
                  <c:v>15.6</c:v>
                </c:pt>
                <c:pt idx="71">
                  <c:v>14.8</c:v>
                </c:pt>
                <c:pt idx="72">
                  <c:v>15.2</c:v>
                </c:pt>
                <c:pt idx="73">
                  <c:v>14.7</c:v>
                </c:pt>
                <c:pt idx="74">
                  <c:v>15.4</c:v>
                </c:pt>
                <c:pt idx="75">
                  <c:v>15.9</c:v>
                </c:pt>
                <c:pt idx="76">
                  <c:v>16.899999999999999</c:v>
                </c:pt>
                <c:pt idx="77">
                  <c:v>16.100000000000001</c:v>
                </c:pt>
                <c:pt idx="78">
                  <c:v>16</c:v>
                </c:pt>
                <c:pt idx="79">
                  <c:v>15.7</c:v>
                </c:pt>
                <c:pt idx="80">
                  <c:v>15.1</c:v>
                </c:pt>
                <c:pt idx="81">
                  <c:v>15.1</c:v>
                </c:pt>
                <c:pt idx="82">
                  <c:v>16.2</c:v>
                </c:pt>
                <c:pt idx="83">
                  <c:v>16.7</c:v>
                </c:pt>
                <c:pt idx="84">
                  <c:v>17.5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44274560"/>
        <c:axId val="144276096"/>
      </c:lineChart>
      <c:catAx>
        <c:axId val="14427456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44276096"/>
        <c:crosses val="autoZero"/>
        <c:auto val="1"/>
        <c:lblAlgn val="ctr"/>
        <c:lblOffset val="100"/>
        <c:noMultiLvlLbl val="0"/>
      </c:catAx>
      <c:valAx>
        <c:axId val="14427609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4427456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2"/>
          <c:order val="0"/>
          <c:tx>
            <c:strRef>
              <c:f>'podľa vzdelania'!$A$47</c:f>
              <c:strCache>
                <c:ptCount val="1"/>
                <c:pt idx="0">
                  <c:v>Základné</c:v>
                </c:pt>
              </c:strCache>
            </c:strRef>
          </c:tx>
          <c:invertIfNegative val="0"/>
          <c:cat>
            <c:strRef>
              <c:f>'podľa vzdelania'!$B$44:$CH$44</c:f>
              <c:strCache>
                <c:ptCount val="85"/>
                <c:pt idx="0">
                  <c:v>1994Q1</c:v>
                </c:pt>
                <c:pt idx="1">
                  <c:v>1994Q2</c:v>
                </c:pt>
                <c:pt idx="2">
                  <c:v>1994Q3</c:v>
                </c:pt>
                <c:pt idx="3">
                  <c:v>1994Q4</c:v>
                </c:pt>
                <c:pt idx="4">
                  <c:v>1995Q1</c:v>
                </c:pt>
                <c:pt idx="5">
                  <c:v>1995Q2</c:v>
                </c:pt>
                <c:pt idx="6">
                  <c:v>1995Q3</c:v>
                </c:pt>
                <c:pt idx="7">
                  <c:v>1995Q4</c:v>
                </c:pt>
                <c:pt idx="8">
                  <c:v>1996Q1</c:v>
                </c:pt>
                <c:pt idx="9">
                  <c:v>1996Q2</c:v>
                </c:pt>
                <c:pt idx="10">
                  <c:v>1996Q3</c:v>
                </c:pt>
                <c:pt idx="11">
                  <c:v>1996Q4</c:v>
                </c:pt>
                <c:pt idx="12">
                  <c:v>1997Q1</c:v>
                </c:pt>
                <c:pt idx="13">
                  <c:v>1997Q2</c:v>
                </c:pt>
                <c:pt idx="14">
                  <c:v>1997Q3</c:v>
                </c:pt>
                <c:pt idx="15">
                  <c:v>1997Q4</c:v>
                </c:pt>
                <c:pt idx="16">
                  <c:v>1998Q1</c:v>
                </c:pt>
                <c:pt idx="17">
                  <c:v>1998Q2</c:v>
                </c:pt>
                <c:pt idx="18">
                  <c:v>1998Q3</c:v>
                </c:pt>
                <c:pt idx="19">
                  <c:v>1998Q4</c:v>
                </c:pt>
                <c:pt idx="20">
                  <c:v>1999Q1</c:v>
                </c:pt>
                <c:pt idx="21">
                  <c:v>1999Q2</c:v>
                </c:pt>
                <c:pt idx="22">
                  <c:v>1999Q3</c:v>
                </c:pt>
                <c:pt idx="23">
                  <c:v>1999Q4</c:v>
                </c:pt>
                <c:pt idx="24">
                  <c:v>2000Q1</c:v>
                </c:pt>
                <c:pt idx="25">
                  <c:v>2000Q2</c:v>
                </c:pt>
                <c:pt idx="26">
                  <c:v>2000Q3</c:v>
                </c:pt>
                <c:pt idx="27">
                  <c:v>2000Q4</c:v>
                </c:pt>
                <c:pt idx="28">
                  <c:v>2001Q1</c:v>
                </c:pt>
                <c:pt idx="29">
                  <c:v>2001Q2</c:v>
                </c:pt>
                <c:pt idx="30">
                  <c:v>2001Q3</c:v>
                </c:pt>
                <c:pt idx="31">
                  <c:v>2001Q4</c:v>
                </c:pt>
                <c:pt idx="32">
                  <c:v>2002Q1</c:v>
                </c:pt>
                <c:pt idx="33">
                  <c:v>2002Q2</c:v>
                </c:pt>
                <c:pt idx="34">
                  <c:v>2002Q3</c:v>
                </c:pt>
                <c:pt idx="35">
                  <c:v>2002Q4</c:v>
                </c:pt>
                <c:pt idx="36">
                  <c:v>2003Q1</c:v>
                </c:pt>
                <c:pt idx="37">
                  <c:v>2003Q2</c:v>
                </c:pt>
                <c:pt idx="38">
                  <c:v>2003Q3</c:v>
                </c:pt>
                <c:pt idx="39">
                  <c:v>2003Q4</c:v>
                </c:pt>
                <c:pt idx="40">
                  <c:v>2004Q1</c:v>
                </c:pt>
                <c:pt idx="41">
                  <c:v>2004Q2</c:v>
                </c:pt>
                <c:pt idx="42">
                  <c:v>2004Q3</c:v>
                </c:pt>
                <c:pt idx="43">
                  <c:v>2004Q4</c:v>
                </c:pt>
                <c:pt idx="44">
                  <c:v>2005Q1</c:v>
                </c:pt>
                <c:pt idx="45">
                  <c:v>2005Q2</c:v>
                </c:pt>
                <c:pt idx="46">
                  <c:v>2005Q3</c:v>
                </c:pt>
                <c:pt idx="47">
                  <c:v>2005Q4</c:v>
                </c:pt>
                <c:pt idx="48">
                  <c:v>2006Q1</c:v>
                </c:pt>
                <c:pt idx="49">
                  <c:v>2006Q2</c:v>
                </c:pt>
                <c:pt idx="50">
                  <c:v>2006Q3</c:v>
                </c:pt>
                <c:pt idx="51">
                  <c:v>2006Q4</c:v>
                </c:pt>
                <c:pt idx="52">
                  <c:v>2007Q1</c:v>
                </c:pt>
                <c:pt idx="53">
                  <c:v>2007Q2</c:v>
                </c:pt>
                <c:pt idx="54">
                  <c:v>2007Q3</c:v>
                </c:pt>
                <c:pt idx="55">
                  <c:v>2007Q4</c:v>
                </c:pt>
                <c:pt idx="56">
                  <c:v>2008Q1</c:v>
                </c:pt>
                <c:pt idx="57">
                  <c:v>2008Q2</c:v>
                </c:pt>
                <c:pt idx="58">
                  <c:v>2008Q3</c:v>
                </c:pt>
                <c:pt idx="59">
                  <c:v>2008Q4</c:v>
                </c:pt>
                <c:pt idx="60">
                  <c:v>2009Q1</c:v>
                </c:pt>
                <c:pt idx="61">
                  <c:v>2009Q2</c:v>
                </c:pt>
                <c:pt idx="62">
                  <c:v>2009Q3</c:v>
                </c:pt>
                <c:pt idx="63">
                  <c:v>2009Q4</c:v>
                </c:pt>
                <c:pt idx="64">
                  <c:v>2010Q1</c:v>
                </c:pt>
                <c:pt idx="65">
                  <c:v>2010Q2</c:v>
                </c:pt>
                <c:pt idx="66">
                  <c:v>2010Q3</c:v>
                </c:pt>
                <c:pt idx="67">
                  <c:v>2010Q4</c:v>
                </c:pt>
                <c:pt idx="68">
                  <c:v>2011Q1</c:v>
                </c:pt>
                <c:pt idx="69">
                  <c:v>2011Q2</c:v>
                </c:pt>
                <c:pt idx="70">
                  <c:v>2011Q3</c:v>
                </c:pt>
                <c:pt idx="71">
                  <c:v>2011Q4</c:v>
                </c:pt>
                <c:pt idx="72">
                  <c:v>2012Q1</c:v>
                </c:pt>
                <c:pt idx="73">
                  <c:v>2012Q2</c:v>
                </c:pt>
                <c:pt idx="74">
                  <c:v>2012Q3</c:v>
                </c:pt>
                <c:pt idx="75">
                  <c:v>2012Q4</c:v>
                </c:pt>
                <c:pt idx="76">
                  <c:v>2013Q1</c:v>
                </c:pt>
                <c:pt idx="77">
                  <c:v>2013Q2</c:v>
                </c:pt>
                <c:pt idx="78">
                  <c:v>2013Q3</c:v>
                </c:pt>
                <c:pt idx="79">
                  <c:v>2013Q4</c:v>
                </c:pt>
                <c:pt idx="80">
                  <c:v>2014Q1</c:v>
                </c:pt>
                <c:pt idx="81">
                  <c:v>2014Q2</c:v>
                </c:pt>
                <c:pt idx="82">
                  <c:v>2014Q3</c:v>
                </c:pt>
                <c:pt idx="83">
                  <c:v>2014Q4</c:v>
                </c:pt>
                <c:pt idx="84">
                  <c:v>2015Q1</c:v>
                </c:pt>
              </c:strCache>
            </c:strRef>
          </c:cat>
          <c:val>
            <c:numRef>
              <c:f>'podľa vzdelania'!$B$47:$CH$47</c:f>
              <c:numCache>
                <c:formatCode>General</c:formatCode>
                <c:ptCount val="85"/>
                <c:pt idx="0">
                  <c:v>254.9</c:v>
                </c:pt>
                <c:pt idx="1">
                  <c:v>242.1</c:v>
                </c:pt>
                <c:pt idx="2">
                  <c:v>248</c:v>
                </c:pt>
                <c:pt idx="3">
                  <c:v>245.5</c:v>
                </c:pt>
                <c:pt idx="4">
                  <c:v>241.5</c:v>
                </c:pt>
                <c:pt idx="5">
                  <c:v>238.1</c:v>
                </c:pt>
                <c:pt idx="6">
                  <c:v>241.8</c:v>
                </c:pt>
                <c:pt idx="7">
                  <c:v>237.4</c:v>
                </c:pt>
                <c:pt idx="8">
                  <c:v>227.6</c:v>
                </c:pt>
                <c:pt idx="9">
                  <c:v>236.5</c:v>
                </c:pt>
                <c:pt idx="10">
                  <c:v>241.3</c:v>
                </c:pt>
                <c:pt idx="11">
                  <c:v>245.7</c:v>
                </c:pt>
                <c:pt idx="12">
                  <c:v>246</c:v>
                </c:pt>
                <c:pt idx="13">
                  <c:v>240.6</c:v>
                </c:pt>
                <c:pt idx="14">
                  <c:v>232.7</c:v>
                </c:pt>
                <c:pt idx="15">
                  <c:v>236</c:v>
                </c:pt>
                <c:pt idx="16">
                  <c:v>222.5</c:v>
                </c:pt>
                <c:pt idx="17">
                  <c:v>212.6</c:v>
                </c:pt>
                <c:pt idx="18">
                  <c:v>210.3</c:v>
                </c:pt>
                <c:pt idx="19">
                  <c:v>202.2</c:v>
                </c:pt>
                <c:pt idx="20">
                  <c:v>172.5</c:v>
                </c:pt>
                <c:pt idx="21">
                  <c:v>173.6</c:v>
                </c:pt>
                <c:pt idx="22">
                  <c:v>165.9</c:v>
                </c:pt>
                <c:pt idx="23">
                  <c:v>163.69999999999999</c:v>
                </c:pt>
                <c:pt idx="24">
                  <c:v>151.80000000000001</c:v>
                </c:pt>
                <c:pt idx="25">
                  <c:v>144</c:v>
                </c:pt>
                <c:pt idx="26">
                  <c:v>141.19999999999999</c:v>
                </c:pt>
                <c:pt idx="27">
                  <c:v>147.5</c:v>
                </c:pt>
                <c:pt idx="28">
                  <c:v>131</c:v>
                </c:pt>
                <c:pt idx="29">
                  <c:v>134.9</c:v>
                </c:pt>
                <c:pt idx="30">
                  <c:v>135.30000000000001</c:v>
                </c:pt>
                <c:pt idx="31">
                  <c:v>132.80000000000001</c:v>
                </c:pt>
                <c:pt idx="32">
                  <c:v>120.1</c:v>
                </c:pt>
                <c:pt idx="33">
                  <c:v>121.7</c:v>
                </c:pt>
                <c:pt idx="34">
                  <c:v>121.1</c:v>
                </c:pt>
                <c:pt idx="35">
                  <c:v>113.5</c:v>
                </c:pt>
                <c:pt idx="36">
                  <c:v>109.2</c:v>
                </c:pt>
                <c:pt idx="37">
                  <c:v>117.9</c:v>
                </c:pt>
                <c:pt idx="38">
                  <c:v>120.4</c:v>
                </c:pt>
                <c:pt idx="39">
                  <c:v>118</c:v>
                </c:pt>
                <c:pt idx="40">
                  <c:v>109.9</c:v>
                </c:pt>
                <c:pt idx="41">
                  <c:v>112.1</c:v>
                </c:pt>
                <c:pt idx="42">
                  <c:v>112.1</c:v>
                </c:pt>
                <c:pt idx="43">
                  <c:v>107.2</c:v>
                </c:pt>
                <c:pt idx="44">
                  <c:v>97.2</c:v>
                </c:pt>
                <c:pt idx="45">
                  <c:v>104</c:v>
                </c:pt>
                <c:pt idx="46">
                  <c:v>105.3</c:v>
                </c:pt>
                <c:pt idx="47">
                  <c:v>103.9</c:v>
                </c:pt>
                <c:pt idx="48">
                  <c:v>104.6</c:v>
                </c:pt>
                <c:pt idx="49">
                  <c:v>109.1</c:v>
                </c:pt>
                <c:pt idx="50">
                  <c:v>107.3</c:v>
                </c:pt>
                <c:pt idx="51">
                  <c:v>106.8</c:v>
                </c:pt>
                <c:pt idx="52">
                  <c:v>106.8</c:v>
                </c:pt>
                <c:pt idx="53">
                  <c:v>107.7</c:v>
                </c:pt>
                <c:pt idx="54">
                  <c:v>105.9</c:v>
                </c:pt>
                <c:pt idx="55">
                  <c:v>103</c:v>
                </c:pt>
                <c:pt idx="56">
                  <c:v>101.9</c:v>
                </c:pt>
                <c:pt idx="57">
                  <c:v>105.6</c:v>
                </c:pt>
                <c:pt idx="58">
                  <c:v>123.3</c:v>
                </c:pt>
                <c:pt idx="59">
                  <c:v>108.9</c:v>
                </c:pt>
                <c:pt idx="60">
                  <c:v>96.5</c:v>
                </c:pt>
                <c:pt idx="61">
                  <c:v>90.4</c:v>
                </c:pt>
                <c:pt idx="62">
                  <c:v>96.2</c:v>
                </c:pt>
                <c:pt idx="63">
                  <c:v>88.1</c:v>
                </c:pt>
                <c:pt idx="64">
                  <c:v>85</c:v>
                </c:pt>
                <c:pt idx="65">
                  <c:v>94.5</c:v>
                </c:pt>
                <c:pt idx="66">
                  <c:v>99.7</c:v>
                </c:pt>
                <c:pt idx="67">
                  <c:v>86.4</c:v>
                </c:pt>
                <c:pt idx="68">
                  <c:v>89.6</c:v>
                </c:pt>
                <c:pt idx="69">
                  <c:v>94.6</c:v>
                </c:pt>
                <c:pt idx="70">
                  <c:v>90.4</c:v>
                </c:pt>
                <c:pt idx="71">
                  <c:v>88</c:v>
                </c:pt>
                <c:pt idx="72">
                  <c:v>89.7</c:v>
                </c:pt>
                <c:pt idx="73">
                  <c:v>86.3</c:v>
                </c:pt>
                <c:pt idx="74">
                  <c:v>84.8</c:v>
                </c:pt>
                <c:pt idx="75">
                  <c:v>90.2</c:v>
                </c:pt>
                <c:pt idx="76">
                  <c:v>95.1</c:v>
                </c:pt>
                <c:pt idx="77">
                  <c:v>92.8</c:v>
                </c:pt>
                <c:pt idx="78">
                  <c:v>89.2</c:v>
                </c:pt>
                <c:pt idx="79">
                  <c:v>88.7</c:v>
                </c:pt>
                <c:pt idx="80">
                  <c:v>82.8</c:v>
                </c:pt>
                <c:pt idx="81">
                  <c:v>83.1</c:v>
                </c:pt>
                <c:pt idx="82">
                  <c:v>86.2</c:v>
                </c:pt>
                <c:pt idx="83">
                  <c:v>91.4</c:v>
                </c:pt>
                <c:pt idx="84">
                  <c:v>96</c:v>
                </c:pt>
              </c:numCache>
            </c:numRef>
          </c:val>
        </c:ser>
        <c:ser>
          <c:idx val="3"/>
          <c:order val="1"/>
          <c:tx>
            <c:strRef>
              <c:f>'podľa vzdelania'!$A$48</c:f>
              <c:strCache>
                <c:ptCount val="1"/>
                <c:pt idx="0">
                  <c:v>Učňovské bez maturity</c:v>
                </c:pt>
              </c:strCache>
            </c:strRef>
          </c:tx>
          <c:invertIfNegative val="0"/>
          <c:cat>
            <c:strRef>
              <c:f>'podľa vzdelania'!$B$44:$CH$44</c:f>
              <c:strCache>
                <c:ptCount val="85"/>
                <c:pt idx="0">
                  <c:v>1994Q1</c:v>
                </c:pt>
                <c:pt idx="1">
                  <c:v>1994Q2</c:v>
                </c:pt>
                <c:pt idx="2">
                  <c:v>1994Q3</c:v>
                </c:pt>
                <c:pt idx="3">
                  <c:v>1994Q4</c:v>
                </c:pt>
                <c:pt idx="4">
                  <c:v>1995Q1</c:v>
                </c:pt>
                <c:pt idx="5">
                  <c:v>1995Q2</c:v>
                </c:pt>
                <c:pt idx="6">
                  <c:v>1995Q3</c:v>
                </c:pt>
                <c:pt idx="7">
                  <c:v>1995Q4</c:v>
                </c:pt>
                <c:pt idx="8">
                  <c:v>1996Q1</c:v>
                </c:pt>
                <c:pt idx="9">
                  <c:v>1996Q2</c:v>
                </c:pt>
                <c:pt idx="10">
                  <c:v>1996Q3</c:v>
                </c:pt>
                <c:pt idx="11">
                  <c:v>1996Q4</c:v>
                </c:pt>
                <c:pt idx="12">
                  <c:v>1997Q1</c:v>
                </c:pt>
                <c:pt idx="13">
                  <c:v>1997Q2</c:v>
                </c:pt>
                <c:pt idx="14">
                  <c:v>1997Q3</c:v>
                </c:pt>
                <c:pt idx="15">
                  <c:v>1997Q4</c:v>
                </c:pt>
                <c:pt idx="16">
                  <c:v>1998Q1</c:v>
                </c:pt>
                <c:pt idx="17">
                  <c:v>1998Q2</c:v>
                </c:pt>
                <c:pt idx="18">
                  <c:v>1998Q3</c:v>
                </c:pt>
                <c:pt idx="19">
                  <c:v>1998Q4</c:v>
                </c:pt>
                <c:pt idx="20">
                  <c:v>1999Q1</c:v>
                </c:pt>
                <c:pt idx="21">
                  <c:v>1999Q2</c:v>
                </c:pt>
                <c:pt idx="22">
                  <c:v>1999Q3</c:v>
                </c:pt>
                <c:pt idx="23">
                  <c:v>1999Q4</c:v>
                </c:pt>
                <c:pt idx="24">
                  <c:v>2000Q1</c:v>
                </c:pt>
                <c:pt idx="25">
                  <c:v>2000Q2</c:v>
                </c:pt>
                <c:pt idx="26">
                  <c:v>2000Q3</c:v>
                </c:pt>
                <c:pt idx="27">
                  <c:v>2000Q4</c:v>
                </c:pt>
                <c:pt idx="28">
                  <c:v>2001Q1</c:v>
                </c:pt>
                <c:pt idx="29">
                  <c:v>2001Q2</c:v>
                </c:pt>
                <c:pt idx="30">
                  <c:v>2001Q3</c:v>
                </c:pt>
                <c:pt idx="31">
                  <c:v>2001Q4</c:v>
                </c:pt>
                <c:pt idx="32">
                  <c:v>2002Q1</c:v>
                </c:pt>
                <c:pt idx="33">
                  <c:v>2002Q2</c:v>
                </c:pt>
                <c:pt idx="34">
                  <c:v>2002Q3</c:v>
                </c:pt>
                <c:pt idx="35">
                  <c:v>2002Q4</c:v>
                </c:pt>
                <c:pt idx="36">
                  <c:v>2003Q1</c:v>
                </c:pt>
                <c:pt idx="37">
                  <c:v>2003Q2</c:v>
                </c:pt>
                <c:pt idx="38">
                  <c:v>2003Q3</c:v>
                </c:pt>
                <c:pt idx="39">
                  <c:v>2003Q4</c:v>
                </c:pt>
                <c:pt idx="40">
                  <c:v>2004Q1</c:v>
                </c:pt>
                <c:pt idx="41">
                  <c:v>2004Q2</c:v>
                </c:pt>
                <c:pt idx="42">
                  <c:v>2004Q3</c:v>
                </c:pt>
                <c:pt idx="43">
                  <c:v>2004Q4</c:v>
                </c:pt>
                <c:pt idx="44">
                  <c:v>2005Q1</c:v>
                </c:pt>
                <c:pt idx="45">
                  <c:v>2005Q2</c:v>
                </c:pt>
                <c:pt idx="46">
                  <c:v>2005Q3</c:v>
                </c:pt>
                <c:pt idx="47">
                  <c:v>2005Q4</c:v>
                </c:pt>
                <c:pt idx="48">
                  <c:v>2006Q1</c:v>
                </c:pt>
                <c:pt idx="49">
                  <c:v>2006Q2</c:v>
                </c:pt>
                <c:pt idx="50">
                  <c:v>2006Q3</c:v>
                </c:pt>
                <c:pt idx="51">
                  <c:v>2006Q4</c:v>
                </c:pt>
                <c:pt idx="52">
                  <c:v>2007Q1</c:v>
                </c:pt>
                <c:pt idx="53">
                  <c:v>2007Q2</c:v>
                </c:pt>
                <c:pt idx="54">
                  <c:v>2007Q3</c:v>
                </c:pt>
                <c:pt idx="55">
                  <c:v>2007Q4</c:v>
                </c:pt>
                <c:pt idx="56">
                  <c:v>2008Q1</c:v>
                </c:pt>
                <c:pt idx="57">
                  <c:v>2008Q2</c:v>
                </c:pt>
                <c:pt idx="58">
                  <c:v>2008Q3</c:v>
                </c:pt>
                <c:pt idx="59">
                  <c:v>2008Q4</c:v>
                </c:pt>
                <c:pt idx="60">
                  <c:v>2009Q1</c:v>
                </c:pt>
                <c:pt idx="61">
                  <c:v>2009Q2</c:v>
                </c:pt>
                <c:pt idx="62">
                  <c:v>2009Q3</c:v>
                </c:pt>
                <c:pt idx="63">
                  <c:v>2009Q4</c:v>
                </c:pt>
                <c:pt idx="64">
                  <c:v>2010Q1</c:v>
                </c:pt>
                <c:pt idx="65">
                  <c:v>2010Q2</c:v>
                </c:pt>
                <c:pt idx="66">
                  <c:v>2010Q3</c:v>
                </c:pt>
                <c:pt idx="67">
                  <c:v>2010Q4</c:v>
                </c:pt>
                <c:pt idx="68">
                  <c:v>2011Q1</c:v>
                </c:pt>
                <c:pt idx="69">
                  <c:v>2011Q2</c:v>
                </c:pt>
                <c:pt idx="70">
                  <c:v>2011Q3</c:v>
                </c:pt>
                <c:pt idx="71">
                  <c:v>2011Q4</c:v>
                </c:pt>
                <c:pt idx="72">
                  <c:v>2012Q1</c:v>
                </c:pt>
                <c:pt idx="73">
                  <c:v>2012Q2</c:v>
                </c:pt>
                <c:pt idx="74">
                  <c:v>2012Q3</c:v>
                </c:pt>
                <c:pt idx="75">
                  <c:v>2012Q4</c:v>
                </c:pt>
                <c:pt idx="76">
                  <c:v>2013Q1</c:v>
                </c:pt>
                <c:pt idx="77">
                  <c:v>2013Q2</c:v>
                </c:pt>
                <c:pt idx="78">
                  <c:v>2013Q3</c:v>
                </c:pt>
                <c:pt idx="79">
                  <c:v>2013Q4</c:v>
                </c:pt>
                <c:pt idx="80">
                  <c:v>2014Q1</c:v>
                </c:pt>
                <c:pt idx="81">
                  <c:v>2014Q2</c:v>
                </c:pt>
                <c:pt idx="82">
                  <c:v>2014Q3</c:v>
                </c:pt>
                <c:pt idx="83">
                  <c:v>2014Q4</c:v>
                </c:pt>
                <c:pt idx="84">
                  <c:v>2015Q1</c:v>
                </c:pt>
              </c:strCache>
            </c:strRef>
          </c:cat>
          <c:val>
            <c:numRef>
              <c:f>'podľa vzdelania'!$B$48:$CH$48</c:f>
              <c:numCache>
                <c:formatCode>General</c:formatCode>
                <c:ptCount val="85"/>
                <c:pt idx="0">
                  <c:v>681.7</c:v>
                </c:pt>
                <c:pt idx="1">
                  <c:v>674.7</c:v>
                </c:pt>
                <c:pt idx="2">
                  <c:v>696.7</c:v>
                </c:pt>
                <c:pt idx="3">
                  <c:v>703.3</c:v>
                </c:pt>
                <c:pt idx="4">
                  <c:v>702.4</c:v>
                </c:pt>
                <c:pt idx="5">
                  <c:v>708.8</c:v>
                </c:pt>
                <c:pt idx="6">
                  <c:v>721.3</c:v>
                </c:pt>
                <c:pt idx="7">
                  <c:v>715.6</c:v>
                </c:pt>
                <c:pt idx="8">
                  <c:v>718.7</c:v>
                </c:pt>
                <c:pt idx="9">
                  <c:v>719.3</c:v>
                </c:pt>
                <c:pt idx="10">
                  <c:v>728.5</c:v>
                </c:pt>
                <c:pt idx="11">
                  <c:v>709.9</c:v>
                </c:pt>
                <c:pt idx="12">
                  <c:v>694</c:v>
                </c:pt>
                <c:pt idx="13">
                  <c:v>687.5</c:v>
                </c:pt>
                <c:pt idx="14">
                  <c:v>683.4</c:v>
                </c:pt>
                <c:pt idx="15">
                  <c:v>696.9</c:v>
                </c:pt>
                <c:pt idx="16">
                  <c:v>698.8</c:v>
                </c:pt>
                <c:pt idx="17">
                  <c:v>716.2</c:v>
                </c:pt>
                <c:pt idx="18">
                  <c:v>735.4</c:v>
                </c:pt>
                <c:pt idx="19">
                  <c:v>765.8</c:v>
                </c:pt>
                <c:pt idx="20">
                  <c:v>757.2</c:v>
                </c:pt>
                <c:pt idx="21">
                  <c:v>747.8</c:v>
                </c:pt>
                <c:pt idx="22">
                  <c:v>756.5</c:v>
                </c:pt>
                <c:pt idx="23">
                  <c:v>752.4</c:v>
                </c:pt>
                <c:pt idx="24">
                  <c:v>728.7</c:v>
                </c:pt>
                <c:pt idx="25">
                  <c:v>730.2</c:v>
                </c:pt>
                <c:pt idx="26">
                  <c:v>742.1</c:v>
                </c:pt>
                <c:pt idx="27">
                  <c:v>748.8</c:v>
                </c:pt>
                <c:pt idx="28">
                  <c:v>737.4</c:v>
                </c:pt>
                <c:pt idx="29">
                  <c:v>760.3</c:v>
                </c:pt>
                <c:pt idx="30">
                  <c:v>777.2</c:v>
                </c:pt>
                <c:pt idx="31">
                  <c:v>782.4</c:v>
                </c:pt>
                <c:pt idx="32">
                  <c:v>765.4</c:v>
                </c:pt>
                <c:pt idx="33">
                  <c:v>780.5</c:v>
                </c:pt>
                <c:pt idx="34">
                  <c:v>780.4</c:v>
                </c:pt>
                <c:pt idx="35">
                  <c:v>775.8</c:v>
                </c:pt>
                <c:pt idx="36">
                  <c:v>745</c:v>
                </c:pt>
                <c:pt idx="37">
                  <c:v>756.9</c:v>
                </c:pt>
                <c:pt idx="38">
                  <c:v>754.5</c:v>
                </c:pt>
                <c:pt idx="39">
                  <c:v>743</c:v>
                </c:pt>
                <c:pt idx="40">
                  <c:v>715.6</c:v>
                </c:pt>
                <c:pt idx="41">
                  <c:v>724.4</c:v>
                </c:pt>
                <c:pt idx="42">
                  <c:v>748.6</c:v>
                </c:pt>
                <c:pt idx="43">
                  <c:v>723.7</c:v>
                </c:pt>
                <c:pt idx="44">
                  <c:v>691.4</c:v>
                </c:pt>
                <c:pt idx="45">
                  <c:v>692.8</c:v>
                </c:pt>
                <c:pt idx="46">
                  <c:v>713</c:v>
                </c:pt>
                <c:pt idx="47">
                  <c:v>704.9</c:v>
                </c:pt>
                <c:pt idx="48">
                  <c:v>707.6</c:v>
                </c:pt>
                <c:pt idx="49">
                  <c:v>737.2</c:v>
                </c:pt>
                <c:pt idx="50">
                  <c:v>757.8</c:v>
                </c:pt>
                <c:pt idx="51">
                  <c:v>752.3</c:v>
                </c:pt>
                <c:pt idx="52">
                  <c:v>750.9</c:v>
                </c:pt>
                <c:pt idx="53">
                  <c:v>756.7</c:v>
                </c:pt>
                <c:pt idx="54">
                  <c:v>757.1</c:v>
                </c:pt>
                <c:pt idx="55">
                  <c:v>761.6</c:v>
                </c:pt>
                <c:pt idx="56">
                  <c:v>757.5</c:v>
                </c:pt>
                <c:pt idx="57">
                  <c:v>760.1</c:v>
                </c:pt>
                <c:pt idx="58">
                  <c:v>773.4</c:v>
                </c:pt>
                <c:pt idx="59">
                  <c:v>786.6</c:v>
                </c:pt>
                <c:pt idx="60">
                  <c:v>761.8</c:v>
                </c:pt>
                <c:pt idx="61">
                  <c:v>745.1</c:v>
                </c:pt>
                <c:pt idx="62">
                  <c:v>736.7</c:v>
                </c:pt>
                <c:pt idx="63">
                  <c:v>715.3</c:v>
                </c:pt>
                <c:pt idx="64">
                  <c:v>697</c:v>
                </c:pt>
                <c:pt idx="65">
                  <c:v>704.1</c:v>
                </c:pt>
                <c:pt idx="66">
                  <c:v>696.4</c:v>
                </c:pt>
                <c:pt idx="67">
                  <c:v>688.3</c:v>
                </c:pt>
                <c:pt idx="68">
                  <c:v>677.8</c:v>
                </c:pt>
                <c:pt idx="69">
                  <c:v>677</c:v>
                </c:pt>
                <c:pt idx="70">
                  <c:v>664.9</c:v>
                </c:pt>
                <c:pt idx="71">
                  <c:v>671.3</c:v>
                </c:pt>
                <c:pt idx="72">
                  <c:v>679.8</c:v>
                </c:pt>
                <c:pt idx="73">
                  <c:v>679.4</c:v>
                </c:pt>
                <c:pt idx="74">
                  <c:v>677.7</c:v>
                </c:pt>
                <c:pt idx="75">
                  <c:v>663.2</c:v>
                </c:pt>
                <c:pt idx="76">
                  <c:v>654.5</c:v>
                </c:pt>
                <c:pt idx="77">
                  <c:v>637.1</c:v>
                </c:pt>
                <c:pt idx="78">
                  <c:v>630.4</c:v>
                </c:pt>
                <c:pt idx="79">
                  <c:v>607.1</c:v>
                </c:pt>
                <c:pt idx="80">
                  <c:v>0</c:v>
                </c:pt>
                <c:pt idx="81">
                  <c:v>0</c:v>
                </c:pt>
                <c:pt idx="82">
                  <c:v>0</c:v>
                </c:pt>
                <c:pt idx="83">
                  <c:v>0</c:v>
                </c:pt>
                <c:pt idx="84">
                  <c:v>0</c:v>
                </c:pt>
              </c:numCache>
            </c:numRef>
          </c:val>
        </c:ser>
        <c:ser>
          <c:idx val="4"/>
          <c:order val="2"/>
          <c:tx>
            <c:strRef>
              <c:f>'podľa vzdelania'!$A$49</c:f>
              <c:strCache>
                <c:ptCount val="1"/>
                <c:pt idx="0">
                  <c:v>Stredné bez maturity</c:v>
                </c:pt>
              </c:strCache>
            </c:strRef>
          </c:tx>
          <c:invertIfNegative val="0"/>
          <c:cat>
            <c:strRef>
              <c:f>'podľa vzdelania'!$B$44:$CH$44</c:f>
              <c:strCache>
                <c:ptCount val="85"/>
                <c:pt idx="0">
                  <c:v>1994Q1</c:v>
                </c:pt>
                <c:pt idx="1">
                  <c:v>1994Q2</c:v>
                </c:pt>
                <c:pt idx="2">
                  <c:v>1994Q3</c:v>
                </c:pt>
                <c:pt idx="3">
                  <c:v>1994Q4</c:v>
                </c:pt>
                <c:pt idx="4">
                  <c:v>1995Q1</c:v>
                </c:pt>
                <c:pt idx="5">
                  <c:v>1995Q2</c:v>
                </c:pt>
                <c:pt idx="6">
                  <c:v>1995Q3</c:v>
                </c:pt>
                <c:pt idx="7">
                  <c:v>1995Q4</c:v>
                </c:pt>
                <c:pt idx="8">
                  <c:v>1996Q1</c:v>
                </c:pt>
                <c:pt idx="9">
                  <c:v>1996Q2</c:v>
                </c:pt>
                <c:pt idx="10">
                  <c:v>1996Q3</c:v>
                </c:pt>
                <c:pt idx="11">
                  <c:v>1996Q4</c:v>
                </c:pt>
                <c:pt idx="12">
                  <c:v>1997Q1</c:v>
                </c:pt>
                <c:pt idx="13">
                  <c:v>1997Q2</c:v>
                </c:pt>
                <c:pt idx="14">
                  <c:v>1997Q3</c:v>
                </c:pt>
                <c:pt idx="15">
                  <c:v>1997Q4</c:v>
                </c:pt>
                <c:pt idx="16">
                  <c:v>1998Q1</c:v>
                </c:pt>
                <c:pt idx="17">
                  <c:v>1998Q2</c:v>
                </c:pt>
                <c:pt idx="18">
                  <c:v>1998Q3</c:v>
                </c:pt>
                <c:pt idx="19">
                  <c:v>1998Q4</c:v>
                </c:pt>
                <c:pt idx="20">
                  <c:v>1999Q1</c:v>
                </c:pt>
                <c:pt idx="21">
                  <c:v>1999Q2</c:v>
                </c:pt>
                <c:pt idx="22">
                  <c:v>1999Q3</c:v>
                </c:pt>
                <c:pt idx="23">
                  <c:v>1999Q4</c:v>
                </c:pt>
                <c:pt idx="24">
                  <c:v>2000Q1</c:v>
                </c:pt>
                <c:pt idx="25">
                  <c:v>2000Q2</c:v>
                </c:pt>
                <c:pt idx="26">
                  <c:v>2000Q3</c:v>
                </c:pt>
                <c:pt idx="27">
                  <c:v>2000Q4</c:v>
                </c:pt>
                <c:pt idx="28">
                  <c:v>2001Q1</c:v>
                </c:pt>
                <c:pt idx="29">
                  <c:v>2001Q2</c:v>
                </c:pt>
                <c:pt idx="30">
                  <c:v>2001Q3</c:v>
                </c:pt>
                <c:pt idx="31">
                  <c:v>2001Q4</c:v>
                </c:pt>
                <c:pt idx="32">
                  <c:v>2002Q1</c:v>
                </c:pt>
                <c:pt idx="33">
                  <c:v>2002Q2</c:v>
                </c:pt>
                <c:pt idx="34">
                  <c:v>2002Q3</c:v>
                </c:pt>
                <c:pt idx="35">
                  <c:v>2002Q4</c:v>
                </c:pt>
                <c:pt idx="36">
                  <c:v>2003Q1</c:v>
                </c:pt>
                <c:pt idx="37">
                  <c:v>2003Q2</c:v>
                </c:pt>
                <c:pt idx="38">
                  <c:v>2003Q3</c:v>
                </c:pt>
                <c:pt idx="39">
                  <c:v>2003Q4</c:v>
                </c:pt>
                <c:pt idx="40">
                  <c:v>2004Q1</c:v>
                </c:pt>
                <c:pt idx="41">
                  <c:v>2004Q2</c:v>
                </c:pt>
                <c:pt idx="42">
                  <c:v>2004Q3</c:v>
                </c:pt>
                <c:pt idx="43">
                  <c:v>2004Q4</c:v>
                </c:pt>
                <c:pt idx="44">
                  <c:v>2005Q1</c:v>
                </c:pt>
                <c:pt idx="45">
                  <c:v>2005Q2</c:v>
                </c:pt>
                <c:pt idx="46">
                  <c:v>2005Q3</c:v>
                </c:pt>
                <c:pt idx="47">
                  <c:v>2005Q4</c:v>
                </c:pt>
                <c:pt idx="48">
                  <c:v>2006Q1</c:v>
                </c:pt>
                <c:pt idx="49">
                  <c:v>2006Q2</c:v>
                </c:pt>
                <c:pt idx="50">
                  <c:v>2006Q3</c:v>
                </c:pt>
                <c:pt idx="51">
                  <c:v>2006Q4</c:v>
                </c:pt>
                <c:pt idx="52">
                  <c:v>2007Q1</c:v>
                </c:pt>
                <c:pt idx="53">
                  <c:v>2007Q2</c:v>
                </c:pt>
                <c:pt idx="54">
                  <c:v>2007Q3</c:v>
                </c:pt>
                <c:pt idx="55">
                  <c:v>2007Q4</c:v>
                </c:pt>
                <c:pt idx="56">
                  <c:v>2008Q1</c:v>
                </c:pt>
                <c:pt idx="57">
                  <c:v>2008Q2</c:v>
                </c:pt>
                <c:pt idx="58">
                  <c:v>2008Q3</c:v>
                </c:pt>
                <c:pt idx="59">
                  <c:v>2008Q4</c:v>
                </c:pt>
                <c:pt idx="60">
                  <c:v>2009Q1</c:v>
                </c:pt>
                <c:pt idx="61">
                  <c:v>2009Q2</c:v>
                </c:pt>
                <c:pt idx="62">
                  <c:v>2009Q3</c:v>
                </c:pt>
                <c:pt idx="63">
                  <c:v>2009Q4</c:v>
                </c:pt>
                <c:pt idx="64">
                  <c:v>2010Q1</c:v>
                </c:pt>
                <c:pt idx="65">
                  <c:v>2010Q2</c:v>
                </c:pt>
                <c:pt idx="66">
                  <c:v>2010Q3</c:v>
                </c:pt>
                <c:pt idx="67">
                  <c:v>2010Q4</c:v>
                </c:pt>
                <c:pt idx="68">
                  <c:v>2011Q1</c:v>
                </c:pt>
                <c:pt idx="69">
                  <c:v>2011Q2</c:v>
                </c:pt>
                <c:pt idx="70">
                  <c:v>2011Q3</c:v>
                </c:pt>
                <c:pt idx="71">
                  <c:v>2011Q4</c:v>
                </c:pt>
                <c:pt idx="72">
                  <c:v>2012Q1</c:v>
                </c:pt>
                <c:pt idx="73">
                  <c:v>2012Q2</c:v>
                </c:pt>
                <c:pt idx="74">
                  <c:v>2012Q3</c:v>
                </c:pt>
                <c:pt idx="75">
                  <c:v>2012Q4</c:v>
                </c:pt>
                <c:pt idx="76">
                  <c:v>2013Q1</c:v>
                </c:pt>
                <c:pt idx="77">
                  <c:v>2013Q2</c:v>
                </c:pt>
                <c:pt idx="78">
                  <c:v>2013Q3</c:v>
                </c:pt>
                <c:pt idx="79">
                  <c:v>2013Q4</c:v>
                </c:pt>
                <c:pt idx="80">
                  <c:v>2014Q1</c:v>
                </c:pt>
                <c:pt idx="81">
                  <c:v>2014Q2</c:v>
                </c:pt>
                <c:pt idx="82">
                  <c:v>2014Q3</c:v>
                </c:pt>
                <c:pt idx="83">
                  <c:v>2014Q4</c:v>
                </c:pt>
                <c:pt idx="84">
                  <c:v>2015Q1</c:v>
                </c:pt>
              </c:strCache>
            </c:strRef>
          </c:cat>
          <c:val>
            <c:numRef>
              <c:f>'podľa vzdelania'!$B$49:$CH$49</c:f>
              <c:numCache>
                <c:formatCode>General</c:formatCode>
                <c:ptCount val="85"/>
                <c:pt idx="0">
                  <c:v>175.7</c:v>
                </c:pt>
                <c:pt idx="1">
                  <c:v>164.8</c:v>
                </c:pt>
                <c:pt idx="2">
                  <c:v>152.5</c:v>
                </c:pt>
                <c:pt idx="3">
                  <c:v>148.6</c:v>
                </c:pt>
                <c:pt idx="4">
                  <c:v>150.69999999999999</c:v>
                </c:pt>
                <c:pt idx="5">
                  <c:v>152.9</c:v>
                </c:pt>
                <c:pt idx="6">
                  <c:v>155.9</c:v>
                </c:pt>
                <c:pt idx="7">
                  <c:v>166.1</c:v>
                </c:pt>
                <c:pt idx="8">
                  <c:v>153</c:v>
                </c:pt>
                <c:pt idx="9">
                  <c:v>151.6</c:v>
                </c:pt>
                <c:pt idx="10">
                  <c:v>158.9</c:v>
                </c:pt>
                <c:pt idx="11">
                  <c:v>154.4</c:v>
                </c:pt>
                <c:pt idx="12">
                  <c:v>167</c:v>
                </c:pt>
                <c:pt idx="13">
                  <c:v>173.3</c:v>
                </c:pt>
                <c:pt idx="14">
                  <c:v>181.5</c:v>
                </c:pt>
                <c:pt idx="15">
                  <c:v>164.8</c:v>
                </c:pt>
                <c:pt idx="16">
                  <c:v>162.1</c:v>
                </c:pt>
                <c:pt idx="17">
                  <c:v>158.30000000000001</c:v>
                </c:pt>
                <c:pt idx="18">
                  <c:v>151.1</c:v>
                </c:pt>
                <c:pt idx="19">
                  <c:v>140.80000000000001</c:v>
                </c:pt>
                <c:pt idx="20">
                  <c:v>112.4</c:v>
                </c:pt>
                <c:pt idx="21">
                  <c:v>105.5</c:v>
                </c:pt>
                <c:pt idx="22">
                  <c:v>103.2</c:v>
                </c:pt>
                <c:pt idx="23">
                  <c:v>97.8</c:v>
                </c:pt>
                <c:pt idx="24">
                  <c:v>95.7</c:v>
                </c:pt>
                <c:pt idx="25">
                  <c:v>88.2</c:v>
                </c:pt>
                <c:pt idx="26">
                  <c:v>84.9</c:v>
                </c:pt>
                <c:pt idx="27">
                  <c:v>78.599999999999994</c:v>
                </c:pt>
                <c:pt idx="28">
                  <c:v>68.599999999999994</c:v>
                </c:pt>
                <c:pt idx="29">
                  <c:v>59.6</c:v>
                </c:pt>
                <c:pt idx="30">
                  <c:v>54.9</c:v>
                </c:pt>
                <c:pt idx="31">
                  <c:v>51</c:v>
                </c:pt>
                <c:pt idx="32">
                  <c:v>47.4</c:v>
                </c:pt>
                <c:pt idx="33">
                  <c:v>46.3</c:v>
                </c:pt>
                <c:pt idx="34">
                  <c:v>52.4</c:v>
                </c:pt>
                <c:pt idx="35">
                  <c:v>53.9</c:v>
                </c:pt>
                <c:pt idx="36">
                  <c:v>51.1</c:v>
                </c:pt>
                <c:pt idx="37">
                  <c:v>51.1</c:v>
                </c:pt>
                <c:pt idx="38">
                  <c:v>53.6</c:v>
                </c:pt>
                <c:pt idx="39">
                  <c:v>46.9</c:v>
                </c:pt>
                <c:pt idx="40">
                  <c:v>44.5</c:v>
                </c:pt>
                <c:pt idx="41">
                  <c:v>48.2</c:v>
                </c:pt>
                <c:pt idx="42">
                  <c:v>49.9</c:v>
                </c:pt>
                <c:pt idx="43">
                  <c:v>52</c:v>
                </c:pt>
                <c:pt idx="44">
                  <c:v>57.8</c:v>
                </c:pt>
                <c:pt idx="45">
                  <c:v>56.5</c:v>
                </c:pt>
                <c:pt idx="46">
                  <c:v>54.3</c:v>
                </c:pt>
                <c:pt idx="47">
                  <c:v>54.6</c:v>
                </c:pt>
                <c:pt idx="48">
                  <c:v>55.4</c:v>
                </c:pt>
                <c:pt idx="49">
                  <c:v>56.3</c:v>
                </c:pt>
                <c:pt idx="50">
                  <c:v>57</c:v>
                </c:pt>
                <c:pt idx="51">
                  <c:v>56</c:v>
                </c:pt>
                <c:pt idx="52">
                  <c:v>61.7</c:v>
                </c:pt>
                <c:pt idx="53">
                  <c:v>60.3</c:v>
                </c:pt>
                <c:pt idx="54">
                  <c:v>59</c:v>
                </c:pt>
                <c:pt idx="55">
                  <c:v>64</c:v>
                </c:pt>
                <c:pt idx="56">
                  <c:v>61.2</c:v>
                </c:pt>
                <c:pt idx="57">
                  <c:v>57.5</c:v>
                </c:pt>
                <c:pt idx="58">
                  <c:v>60.1</c:v>
                </c:pt>
                <c:pt idx="59">
                  <c:v>63.3</c:v>
                </c:pt>
                <c:pt idx="60">
                  <c:v>56.1</c:v>
                </c:pt>
                <c:pt idx="61">
                  <c:v>57.8</c:v>
                </c:pt>
                <c:pt idx="62">
                  <c:v>61.5</c:v>
                </c:pt>
                <c:pt idx="63">
                  <c:v>53.9</c:v>
                </c:pt>
                <c:pt idx="64">
                  <c:v>53.2</c:v>
                </c:pt>
                <c:pt idx="65">
                  <c:v>54.1</c:v>
                </c:pt>
                <c:pt idx="66">
                  <c:v>56.4</c:v>
                </c:pt>
                <c:pt idx="67">
                  <c:v>57.9</c:v>
                </c:pt>
                <c:pt idx="68">
                  <c:v>53.5</c:v>
                </c:pt>
                <c:pt idx="69">
                  <c:v>52.6</c:v>
                </c:pt>
                <c:pt idx="70">
                  <c:v>62.3</c:v>
                </c:pt>
                <c:pt idx="71">
                  <c:v>66.099999999999994</c:v>
                </c:pt>
                <c:pt idx="72">
                  <c:v>69.5</c:v>
                </c:pt>
                <c:pt idx="73">
                  <c:v>74.599999999999994</c:v>
                </c:pt>
                <c:pt idx="74">
                  <c:v>76.7</c:v>
                </c:pt>
                <c:pt idx="75">
                  <c:v>67.8</c:v>
                </c:pt>
                <c:pt idx="76">
                  <c:v>65.8</c:v>
                </c:pt>
                <c:pt idx="77">
                  <c:v>68.8</c:v>
                </c:pt>
                <c:pt idx="78">
                  <c:v>65.900000000000006</c:v>
                </c:pt>
                <c:pt idx="79">
                  <c:v>70.900000000000006</c:v>
                </c:pt>
                <c:pt idx="80">
                  <c:v>0</c:v>
                </c:pt>
                <c:pt idx="81">
                  <c:v>0</c:v>
                </c:pt>
                <c:pt idx="82">
                  <c:v>0</c:v>
                </c:pt>
                <c:pt idx="83">
                  <c:v>0</c:v>
                </c:pt>
                <c:pt idx="84">
                  <c:v>0</c:v>
                </c:pt>
              </c:numCache>
            </c:numRef>
          </c:val>
        </c:ser>
        <c:ser>
          <c:idx val="5"/>
          <c:order val="3"/>
          <c:tx>
            <c:strRef>
              <c:f>'podľa vzdelania'!$A$50</c:f>
              <c:strCache>
                <c:ptCount val="1"/>
                <c:pt idx="0">
                  <c:v>Stredné odborné (učňovské) bez maturity</c:v>
                </c:pt>
              </c:strCache>
            </c:strRef>
          </c:tx>
          <c:invertIfNegative val="0"/>
          <c:cat>
            <c:strRef>
              <c:f>'podľa vzdelania'!$B$44:$CH$44</c:f>
              <c:strCache>
                <c:ptCount val="85"/>
                <c:pt idx="0">
                  <c:v>1994Q1</c:v>
                </c:pt>
                <c:pt idx="1">
                  <c:v>1994Q2</c:v>
                </c:pt>
                <c:pt idx="2">
                  <c:v>1994Q3</c:v>
                </c:pt>
                <c:pt idx="3">
                  <c:v>1994Q4</c:v>
                </c:pt>
                <c:pt idx="4">
                  <c:v>1995Q1</c:v>
                </c:pt>
                <c:pt idx="5">
                  <c:v>1995Q2</c:v>
                </c:pt>
                <c:pt idx="6">
                  <c:v>1995Q3</c:v>
                </c:pt>
                <c:pt idx="7">
                  <c:v>1995Q4</c:v>
                </c:pt>
                <c:pt idx="8">
                  <c:v>1996Q1</c:v>
                </c:pt>
                <c:pt idx="9">
                  <c:v>1996Q2</c:v>
                </c:pt>
                <c:pt idx="10">
                  <c:v>1996Q3</c:v>
                </c:pt>
                <c:pt idx="11">
                  <c:v>1996Q4</c:v>
                </c:pt>
                <c:pt idx="12">
                  <c:v>1997Q1</c:v>
                </c:pt>
                <c:pt idx="13">
                  <c:v>1997Q2</c:v>
                </c:pt>
                <c:pt idx="14">
                  <c:v>1997Q3</c:v>
                </c:pt>
                <c:pt idx="15">
                  <c:v>1997Q4</c:v>
                </c:pt>
                <c:pt idx="16">
                  <c:v>1998Q1</c:v>
                </c:pt>
                <c:pt idx="17">
                  <c:v>1998Q2</c:v>
                </c:pt>
                <c:pt idx="18">
                  <c:v>1998Q3</c:v>
                </c:pt>
                <c:pt idx="19">
                  <c:v>1998Q4</c:v>
                </c:pt>
                <c:pt idx="20">
                  <c:v>1999Q1</c:v>
                </c:pt>
                <c:pt idx="21">
                  <c:v>1999Q2</c:v>
                </c:pt>
                <c:pt idx="22">
                  <c:v>1999Q3</c:v>
                </c:pt>
                <c:pt idx="23">
                  <c:v>1999Q4</c:v>
                </c:pt>
                <c:pt idx="24">
                  <c:v>2000Q1</c:v>
                </c:pt>
                <c:pt idx="25">
                  <c:v>2000Q2</c:v>
                </c:pt>
                <c:pt idx="26">
                  <c:v>2000Q3</c:v>
                </c:pt>
                <c:pt idx="27">
                  <c:v>2000Q4</c:v>
                </c:pt>
                <c:pt idx="28">
                  <c:v>2001Q1</c:v>
                </c:pt>
                <c:pt idx="29">
                  <c:v>2001Q2</c:v>
                </c:pt>
                <c:pt idx="30">
                  <c:v>2001Q3</c:v>
                </c:pt>
                <c:pt idx="31">
                  <c:v>2001Q4</c:v>
                </c:pt>
                <c:pt idx="32">
                  <c:v>2002Q1</c:v>
                </c:pt>
                <c:pt idx="33">
                  <c:v>2002Q2</c:v>
                </c:pt>
                <c:pt idx="34">
                  <c:v>2002Q3</c:v>
                </c:pt>
                <c:pt idx="35">
                  <c:v>2002Q4</c:v>
                </c:pt>
                <c:pt idx="36">
                  <c:v>2003Q1</c:v>
                </c:pt>
                <c:pt idx="37">
                  <c:v>2003Q2</c:v>
                </c:pt>
                <c:pt idx="38">
                  <c:v>2003Q3</c:v>
                </c:pt>
                <c:pt idx="39">
                  <c:v>2003Q4</c:v>
                </c:pt>
                <c:pt idx="40">
                  <c:v>2004Q1</c:v>
                </c:pt>
                <c:pt idx="41">
                  <c:v>2004Q2</c:v>
                </c:pt>
                <c:pt idx="42">
                  <c:v>2004Q3</c:v>
                </c:pt>
                <c:pt idx="43">
                  <c:v>2004Q4</c:v>
                </c:pt>
                <c:pt idx="44">
                  <c:v>2005Q1</c:v>
                </c:pt>
                <c:pt idx="45">
                  <c:v>2005Q2</c:v>
                </c:pt>
                <c:pt idx="46">
                  <c:v>2005Q3</c:v>
                </c:pt>
                <c:pt idx="47">
                  <c:v>2005Q4</c:v>
                </c:pt>
                <c:pt idx="48">
                  <c:v>2006Q1</c:v>
                </c:pt>
                <c:pt idx="49">
                  <c:v>2006Q2</c:v>
                </c:pt>
                <c:pt idx="50">
                  <c:v>2006Q3</c:v>
                </c:pt>
                <c:pt idx="51">
                  <c:v>2006Q4</c:v>
                </c:pt>
                <c:pt idx="52">
                  <c:v>2007Q1</c:v>
                </c:pt>
                <c:pt idx="53">
                  <c:v>2007Q2</c:v>
                </c:pt>
                <c:pt idx="54">
                  <c:v>2007Q3</c:v>
                </c:pt>
                <c:pt idx="55">
                  <c:v>2007Q4</c:v>
                </c:pt>
                <c:pt idx="56">
                  <c:v>2008Q1</c:v>
                </c:pt>
                <c:pt idx="57">
                  <c:v>2008Q2</c:v>
                </c:pt>
                <c:pt idx="58">
                  <c:v>2008Q3</c:v>
                </c:pt>
                <c:pt idx="59">
                  <c:v>2008Q4</c:v>
                </c:pt>
                <c:pt idx="60">
                  <c:v>2009Q1</c:v>
                </c:pt>
                <c:pt idx="61">
                  <c:v>2009Q2</c:v>
                </c:pt>
                <c:pt idx="62">
                  <c:v>2009Q3</c:v>
                </c:pt>
                <c:pt idx="63">
                  <c:v>2009Q4</c:v>
                </c:pt>
                <c:pt idx="64">
                  <c:v>2010Q1</c:v>
                </c:pt>
                <c:pt idx="65">
                  <c:v>2010Q2</c:v>
                </c:pt>
                <c:pt idx="66">
                  <c:v>2010Q3</c:v>
                </c:pt>
                <c:pt idx="67">
                  <c:v>2010Q4</c:v>
                </c:pt>
                <c:pt idx="68">
                  <c:v>2011Q1</c:v>
                </c:pt>
                <c:pt idx="69">
                  <c:v>2011Q2</c:v>
                </c:pt>
                <c:pt idx="70">
                  <c:v>2011Q3</c:v>
                </c:pt>
                <c:pt idx="71">
                  <c:v>2011Q4</c:v>
                </c:pt>
                <c:pt idx="72">
                  <c:v>2012Q1</c:v>
                </c:pt>
                <c:pt idx="73">
                  <c:v>2012Q2</c:v>
                </c:pt>
                <c:pt idx="74">
                  <c:v>2012Q3</c:v>
                </c:pt>
                <c:pt idx="75">
                  <c:v>2012Q4</c:v>
                </c:pt>
                <c:pt idx="76">
                  <c:v>2013Q1</c:v>
                </c:pt>
                <c:pt idx="77">
                  <c:v>2013Q2</c:v>
                </c:pt>
                <c:pt idx="78">
                  <c:v>2013Q3</c:v>
                </c:pt>
                <c:pt idx="79">
                  <c:v>2013Q4</c:v>
                </c:pt>
                <c:pt idx="80">
                  <c:v>2014Q1</c:v>
                </c:pt>
                <c:pt idx="81">
                  <c:v>2014Q2</c:v>
                </c:pt>
                <c:pt idx="82">
                  <c:v>2014Q3</c:v>
                </c:pt>
                <c:pt idx="83">
                  <c:v>2014Q4</c:v>
                </c:pt>
                <c:pt idx="84">
                  <c:v>2015Q1</c:v>
                </c:pt>
              </c:strCache>
            </c:strRef>
          </c:cat>
          <c:val>
            <c:numRef>
              <c:f>'podľa vzdelania'!$B$50:$CH$50</c:f>
              <c:numCache>
                <c:formatCode>General</c:formatCode>
                <c:ptCount val="8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  <c:pt idx="30">
                  <c:v>0</c:v>
                </c:pt>
                <c:pt idx="31">
                  <c:v>0</c:v>
                </c:pt>
                <c:pt idx="32">
                  <c:v>0</c:v>
                </c:pt>
                <c:pt idx="33">
                  <c:v>0</c:v>
                </c:pt>
                <c:pt idx="34">
                  <c:v>0</c:v>
                </c:pt>
                <c:pt idx="35">
                  <c:v>0</c:v>
                </c:pt>
                <c:pt idx="36">
                  <c:v>0</c:v>
                </c:pt>
                <c:pt idx="37">
                  <c:v>0</c:v>
                </c:pt>
                <c:pt idx="38">
                  <c:v>0</c:v>
                </c:pt>
                <c:pt idx="39">
                  <c:v>0</c:v>
                </c:pt>
                <c:pt idx="40">
                  <c:v>0</c:v>
                </c:pt>
                <c:pt idx="41">
                  <c:v>0</c:v>
                </c:pt>
                <c:pt idx="42">
                  <c:v>0</c:v>
                </c:pt>
                <c:pt idx="43">
                  <c:v>0</c:v>
                </c:pt>
                <c:pt idx="44">
                  <c:v>0</c:v>
                </c:pt>
                <c:pt idx="45">
                  <c:v>0</c:v>
                </c:pt>
                <c:pt idx="46">
                  <c:v>0</c:v>
                </c:pt>
                <c:pt idx="47">
                  <c:v>0</c:v>
                </c:pt>
                <c:pt idx="48">
                  <c:v>0</c:v>
                </c:pt>
                <c:pt idx="49">
                  <c:v>0</c:v>
                </c:pt>
                <c:pt idx="50">
                  <c:v>0</c:v>
                </c:pt>
                <c:pt idx="51">
                  <c:v>0</c:v>
                </c:pt>
                <c:pt idx="52">
                  <c:v>0</c:v>
                </c:pt>
                <c:pt idx="53">
                  <c:v>0</c:v>
                </c:pt>
                <c:pt idx="54">
                  <c:v>0</c:v>
                </c:pt>
                <c:pt idx="55">
                  <c:v>0</c:v>
                </c:pt>
                <c:pt idx="56">
                  <c:v>0</c:v>
                </c:pt>
                <c:pt idx="57">
                  <c:v>0</c:v>
                </c:pt>
                <c:pt idx="58">
                  <c:v>0</c:v>
                </c:pt>
                <c:pt idx="59">
                  <c:v>0</c:v>
                </c:pt>
                <c:pt idx="60">
                  <c:v>0</c:v>
                </c:pt>
                <c:pt idx="61">
                  <c:v>0</c:v>
                </c:pt>
                <c:pt idx="62">
                  <c:v>0</c:v>
                </c:pt>
                <c:pt idx="63">
                  <c:v>0</c:v>
                </c:pt>
                <c:pt idx="64">
                  <c:v>0</c:v>
                </c:pt>
                <c:pt idx="65">
                  <c:v>0</c:v>
                </c:pt>
                <c:pt idx="66">
                  <c:v>0</c:v>
                </c:pt>
                <c:pt idx="67">
                  <c:v>0</c:v>
                </c:pt>
                <c:pt idx="68">
                  <c:v>0</c:v>
                </c:pt>
                <c:pt idx="69">
                  <c:v>0</c:v>
                </c:pt>
                <c:pt idx="70">
                  <c:v>0</c:v>
                </c:pt>
                <c:pt idx="71">
                  <c:v>0</c:v>
                </c:pt>
                <c:pt idx="72">
                  <c:v>0</c:v>
                </c:pt>
                <c:pt idx="73">
                  <c:v>0</c:v>
                </c:pt>
                <c:pt idx="74">
                  <c:v>0</c:v>
                </c:pt>
                <c:pt idx="75">
                  <c:v>0</c:v>
                </c:pt>
                <c:pt idx="76">
                  <c:v>0</c:v>
                </c:pt>
                <c:pt idx="77">
                  <c:v>0</c:v>
                </c:pt>
                <c:pt idx="78">
                  <c:v>0</c:v>
                </c:pt>
                <c:pt idx="79">
                  <c:v>0</c:v>
                </c:pt>
                <c:pt idx="80">
                  <c:v>674.1</c:v>
                </c:pt>
                <c:pt idx="81">
                  <c:v>678.2</c:v>
                </c:pt>
                <c:pt idx="82">
                  <c:v>681.1</c:v>
                </c:pt>
                <c:pt idx="83">
                  <c:v>681.5</c:v>
                </c:pt>
                <c:pt idx="84">
                  <c:v>667.9</c:v>
                </c:pt>
              </c:numCache>
            </c:numRef>
          </c:val>
        </c:ser>
        <c:ser>
          <c:idx val="6"/>
          <c:order val="4"/>
          <c:tx>
            <c:strRef>
              <c:f>'podľa vzdelania'!$A$51</c:f>
              <c:strCache>
                <c:ptCount val="1"/>
                <c:pt idx="0">
                  <c:v>Úplné stredné odborné (učňovské) s maturitou</c:v>
                </c:pt>
              </c:strCache>
            </c:strRef>
          </c:tx>
          <c:invertIfNegative val="0"/>
          <c:cat>
            <c:strRef>
              <c:f>'podľa vzdelania'!$B$44:$CH$44</c:f>
              <c:strCache>
                <c:ptCount val="85"/>
                <c:pt idx="0">
                  <c:v>1994Q1</c:v>
                </c:pt>
                <c:pt idx="1">
                  <c:v>1994Q2</c:v>
                </c:pt>
                <c:pt idx="2">
                  <c:v>1994Q3</c:v>
                </c:pt>
                <c:pt idx="3">
                  <c:v>1994Q4</c:v>
                </c:pt>
                <c:pt idx="4">
                  <c:v>1995Q1</c:v>
                </c:pt>
                <c:pt idx="5">
                  <c:v>1995Q2</c:v>
                </c:pt>
                <c:pt idx="6">
                  <c:v>1995Q3</c:v>
                </c:pt>
                <c:pt idx="7">
                  <c:v>1995Q4</c:v>
                </c:pt>
                <c:pt idx="8">
                  <c:v>1996Q1</c:v>
                </c:pt>
                <c:pt idx="9">
                  <c:v>1996Q2</c:v>
                </c:pt>
                <c:pt idx="10">
                  <c:v>1996Q3</c:v>
                </c:pt>
                <c:pt idx="11">
                  <c:v>1996Q4</c:v>
                </c:pt>
                <c:pt idx="12">
                  <c:v>1997Q1</c:v>
                </c:pt>
                <c:pt idx="13">
                  <c:v>1997Q2</c:v>
                </c:pt>
                <c:pt idx="14">
                  <c:v>1997Q3</c:v>
                </c:pt>
                <c:pt idx="15">
                  <c:v>1997Q4</c:v>
                </c:pt>
                <c:pt idx="16">
                  <c:v>1998Q1</c:v>
                </c:pt>
                <c:pt idx="17">
                  <c:v>1998Q2</c:v>
                </c:pt>
                <c:pt idx="18">
                  <c:v>1998Q3</c:v>
                </c:pt>
                <c:pt idx="19">
                  <c:v>1998Q4</c:v>
                </c:pt>
                <c:pt idx="20">
                  <c:v>1999Q1</c:v>
                </c:pt>
                <c:pt idx="21">
                  <c:v>1999Q2</c:v>
                </c:pt>
                <c:pt idx="22">
                  <c:v>1999Q3</c:v>
                </c:pt>
                <c:pt idx="23">
                  <c:v>1999Q4</c:v>
                </c:pt>
                <c:pt idx="24">
                  <c:v>2000Q1</c:v>
                </c:pt>
                <c:pt idx="25">
                  <c:v>2000Q2</c:v>
                </c:pt>
                <c:pt idx="26">
                  <c:v>2000Q3</c:v>
                </c:pt>
                <c:pt idx="27">
                  <c:v>2000Q4</c:v>
                </c:pt>
                <c:pt idx="28">
                  <c:v>2001Q1</c:v>
                </c:pt>
                <c:pt idx="29">
                  <c:v>2001Q2</c:v>
                </c:pt>
                <c:pt idx="30">
                  <c:v>2001Q3</c:v>
                </c:pt>
                <c:pt idx="31">
                  <c:v>2001Q4</c:v>
                </c:pt>
                <c:pt idx="32">
                  <c:v>2002Q1</c:v>
                </c:pt>
                <c:pt idx="33">
                  <c:v>2002Q2</c:v>
                </c:pt>
                <c:pt idx="34">
                  <c:v>2002Q3</c:v>
                </c:pt>
                <c:pt idx="35">
                  <c:v>2002Q4</c:v>
                </c:pt>
                <c:pt idx="36">
                  <c:v>2003Q1</c:v>
                </c:pt>
                <c:pt idx="37">
                  <c:v>2003Q2</c:v>
                </c:pt>
                <c:pt idx="38">
                  <c:v>2003Q3</c:v>
                </c:pt>
                <c:pt idx="39">
                  <c:v>2003Q4</c:v>
                </c:pt>
                <c:pt idx="40">
                  <c:v>2004Q1</c:v>
                </c:pt>
                <c:pt idx="41">
                  <c:v>2004Q2</c:v>
                </c:pt>
                <c:pt idx="42">
                  <c:v>2004Q3</c:v>
                </c:pt>
                <c:pt idx="43">
                  <c:v>2004Q4</c:v>
                </c:pt>
                <c:pt idx="44">
                  <c:v>2005Q1</c:v>
                </c:pt>
                <c:pt idx="45">
                  <c:v>2005Q2</c:v>
                </c:pt>
                <c:pt idx="46">
                  <c:v>2005Q3</c:v>
                </c:pt>
                <c:pt idx="47">
                  <c:v>2005Q4</c:v>
                </c:pt>
                <c:pt idx="48">
                  <c:v>2006Q1</c:v>
                </c:pt>
                <c:pt idx="49">
                  <c:v>2006Q2</c:v>
                </c:pt>
                <c:pt idx="50">
                  <c:v>2006Q3</c:v>
                </c:pt>
                <c:pt idx="51">
                  <c:v>2006Q4</c:v>
                </c:pt>
                <c:pt idx="52">
                  <c:v>2007Q1</c:v>
                </c:pt>
                <c:pt idx="53">
                  <c:v>2007Q2</c:v>
                </c:pt>
                <c:pt idx="54">
                  <c:v>2007Q3</c:v>
                </c:pt>
                <c:pt idx="55">
                  <c:v>2007Q4</c:v>
                </c:pt>
                <c:pt idx="56">
                  <c:v>2008Q1</c:v>
                </c:pt>
                <c:pt idx="57">
                  <c:v>2008Q2</c:v>
                </c:pt>
                <c:pt idx="58">
                  <c:v>2008Q3</c:v>
                </c:pt>
                <c:pt idx="59">
                  <c:v>2008Q4</c:v>
                </c:pt>
                <c:pt idx="60">
                  <c:v>2009Q1</c:v>
                </c:pt>
                <c:pt idx="61">
                  <c:v>2009Q2</c:v>
                </c:pt>
                <c:pt idx="62">
                  <c:v>2009Q3</c:v>
                </c:pt>
                <c:pt idx="63">
                  <c:v>2009Q4</c:v>
                </c:pt>
                <c:pt idx="64">
                  <c:v>2010Q1</c:v>
                </c:pt>
                <c:pt idx="65">
                  <c:v>2010Q2</c:v>
                </c:pt>
                <c:pt idx="66">
                  <c:v>2010Q3</c:v>
                </c:pt>
                <c:pt idx="67">
                  <c:v>2010Q4</c:v>
                </c:pt>
                <c:pt idx="68">
                  <c:v>2011Q1</c:v>
                </c:pt>
                <c:pt idx="69">
                  <c:v>2011Q2</c:v>
                </c:pt>
                <c:pt idx="70">
                  <c:v>2011Q3</c:v>
                </c:pt>
                <c:pt idx="71">
                  <c:v>2011Q4</c:v>
                </c:pt>
                <c:pt idx="72">
                  <c:v>2012Q1</c:v>
                </c:pt>
                <c:pt idx="73">
                  <c:v>2012Q2</c:v>
                </c:pt>
                <c:pt idx="74">
                  <c:v>2012Q3</c:v>
                </c:pt>
                <c:pt idx="75">
                  <c:v>2012Q4</c:v>
                </c:pt>
                <c:pt idx="76">
                  <c:v>2013Q1</c:v>
                </c:pt>
                <c:pt idx="77">
                  <c:v>2013Q2</c:v>
                </c:pt>
                <c:pt idx="78">
                  <c:v>2013Q3</c:v>
                </c:pt>
                <c:pt idx="79">
                  <c:v>2013Q4</c:v>
                </c:pt>
                <c:pt idx="80">
                  <c:v>2014Q1</c:v>
                </c:pt>
                <c:pt idx="81">
                  <c:v>2014Q2</c:v>
                </c:pt>
                <c:pt idx="82">
                  <c:v>2014Q3</c:v>
                </c:pt>
                <c:pt idx="83">
                  <c:v>2014Q4</c:v>
                </c:pt>
                <c:pt idx="84">
                  <c:v>2015Q1</c:v>
                </c:pt>
              </c:strCache>
            </c:strRef>
          </c:cat>
          <c:val>
            <c:numRef>
              <c:f>'podľa vzdelania'!$B$51:$CH$51</c:f>
              <c:numCache>
                <c:formatCode>General</c:formatCode>
                <c:ptCount val="85"/>
                <c:pt idx="0">
                  <c:v>58.6</c:v>
                </c:pt>
                <c:pt idx="1">
                  <c:v>57.6</c:v>
                </c:pt>
                <c:pt idx="2">
                  <c:v>58.3</c:v>
                </c:pt>
                <c:pt idx="3">
                  <c:v>63.1</c:v>
                </c:pt>
                <c:pt idx="4">
                  <c:v>65</c:v>
                </c:pt>
                <c:pt idx="5">
                  <c:v>68.3</c:v>
                </c:pt>
                <c:pt idx="6">
                  <c:v>69</c:v>
                </c:pt>
                <c:pt idx="7">
                  <c:v>66.7</c:v>
                </c:pt>
                <c:pt idx="8">
                  <c:v>66.5</c:v>
                </c:pt>
                <c:pt idx="9">
                  <c:v>74.7</c:v>
                </c:pt>
                <c:pt idx="10">
                  <c:v>81.599999999999994</c:v>
                </c:pt>
                <c:pt idx="11">
                  <c:v>90.1</c:v>
                </c:pt>
                <c:pt idx="12">
                  <c:v>91.8</c:v>
                </c:pt>
                <c:pt idx="13">
                  <c:v>103</c:v>
                </c:pt>
                <c:pt idx="14">
                  <c:v>106.2</c:v>
                </c:pt>
                <c:pt idx="15">
                  <c:v>103.9</c:v>
                </c:pt>
                <c:pt idx="16">
                  <c:v>107.8</c:v>
                </c:pt>
                <c:pt idx="17">
                  <c:v>108.2</c:v>
                </c:pt>
                <c:pt idx="18">
                  <c:v>104.8</c:v>
                </c:pt>
                <c:pt idx="19">
                  <c:v>105.1</c:v>
                </c:pt>
                <c:pt idx="20">
                  <c:v>106.2</c:v>
                </c:pt>
                <c:pt idx="21">
                  <c:v>105.3</c:v>
                </c:pt>
                <c:pt idx="22">
                  <c:v>98.9</c:v>
                </c:pt>
                <c:pt idx="23">
                  <c:v>98.1</c:v>
                </c:pt>
                <c:pt idx="24">
                  <c:v>89.9</c:v>
                </c:pt>
                <c:pt idx="25">
                  <c:v>98.4</c:v>
                </c:pt>
                <c:pt idx="26">
                  <c:v>98.3</c:v>
                </c:pt>
                <c:pt idx="27">
                  <c:v>102.3</c:v>
                </c:pt>
                <c:pt idx="28">
                  <c:v>104.3</c:v>
                </c:pt>
                <c:pt idx="29">
                  <c:v>104.4</c:v>
                </c:pt>
                <c:pt idx="30">
                  <c:v>103.9</c:v>
                </c:pt>
                <c:pt idx="31">
                  <c:v>100.3</c:v>
                </c:pt>
                <c:pt idx="32">
                  <c:v>102.6</c:v>
                </c:pt>
                <c:pt idx="33">
                  <c:v>103.7</c:v>
                </c:pt>
                <c:pt idx="34">
                  <c:v>106</c:v>
                </c:pt>
                <c:pt idx="35">
                  <c:v>108.2</c:v>
                </c:pt>
                <c:pt idx="36">
                  <c:v>111</c:v>
                </c:pt>
                <c:pt idx="37">
                  <c:v>112.8</c:v>
                </c:pt>
                <c:pt idx="38">
                  <c:v>116.2</c:v>
                </c:pt>
                <c:pt idx="39">
                  <c:v>115.8</c:v>
                </c:pt>
                <c:pt idx="40">
                  <c:v>109.6</c:v>
                </c:pt>
                <c:pt idx="41">
                  <c:v>110.8</c:v>
                </c:pt>
                <c:pt idx="42">
                  <c:v>113.3</c:v>
                </c:pt>
                <c:pt idx="43">
                  <c:v>114</c:v>
                </c:pt>
                <c:pt idx="44">
                  <c:v>112.4</c:v>
                </c:pt>
                <c:pt idx="45">
                  <c:v>115.1</c:v>
                </c:pt>
                <c:pt idx="46">
                  <c:v>115.6</c:v>
                </c:pt>
                <c:pt idx="47">
                  <c:v>118.7</c:v>
                </c:pt>
                <c:pt idx="48">
                  <c:v>120.6</c:v>
                </c:pt>
                <c:pt idx="49">
                  <c:v>123.6</c:v>
                </c:pt>
                <c:pt idx="50">
                  <c:v>117.9</c:v>
                </c:pt>
                <c:pt idx="51">
                  <c:v>120.4</c:v>
                </c:pt>
                <c:pt idx="52">
                  <c:v>120.8</c:v>
                </c:pt>
                <c:pt idx="53">
                  <c:v>121.2</c:v>
                </c:pt>
                <c:pt idx="54">
                  <c:v>124</c:v>
                </c:pt>
                <c:pt idx="55">
                  <c:v>128.80000000000001</c:v>
                </c:pt>
                <c:pt idx="56">
                  <c:v>121.8</c:v>
                </c:pt>
                <c:pt idx="57">
                  <c:v>123.7</c:v>
                </c:pt>
                <c:pt idx="58">
                  <c:v>130.80000000000001</c:v>
                </c:pt>
                <c:pt idx="59">
                  <c:v>127.6</c:v>
                </c:pt>
                <c:pt idx="60">
                  <c:v>115.2</c:v>
                </c:pt>
                <c:pt idx="61">
                  <c:v>109.9</c:v>
                </c:pt>
                <c:pt idx="62">
                  <c:v>102.6</c:v>
                </c:pt>
                <c:pt idx="63">
                  <c:v>93.6</c:v>
                </c:pt>
                <c:pt idx="64">
                  <c:v>83.7</c:v>
                </c:pt>
                <c:pt idx="65">
                  <c:v>81.8</c:v>
                </c:pt>
                <c:pt idx="66">
                  <c:v>80.5</c:v>
                </c:pt>
                <c:pt idx="67">
                  <c:v>80.900000000000006</c:v>
                </c:pt>
                <c:pt idx="68">
                  <c:v>90.9</c:v>
                </c:pt>
                <c:pt idx="69">
                  <c:v>101.1</c:v>
                </c:pt>
                <c:pt idx="70">
                  <c:v>106.4</c:v>
                </c:pt>
                <c:pt idx="71">
                  <c:v>118.7</c:v>
                </c:pt>
                <c:pt idx="72">
                  <c:v>123</c:v>
                </c:pt>
                <c:pt idx="73">
                  <c:v>115.8</c:v>
                </c:pt>
                <c:pt idx="74">
                  <c:v>106.3</c:v>
                </c:pt>
                <c:pt idx="75">
                  <c:v>103.5</c:v>
                </c:pt>
                <c:pt idx="76">
                  <c:v>96.5</c:v>
                </c:pt>
                <c:pt idx="77">
                  <c:v>87.8</c:v>
                </c:pt>
                <c:pt idx="78">
                  <c:v>90.2</c:v>
                </c:pt>
                <c:pt idx="79">
                  <c:v>92.7</c:v>
                </c:pt>
                <c:pt idx="80">
                  <c:v>128</c:v>
                </c:pt>
                <c:pt idx="81">
                  <c:v>139.69999999999999</c:v>
                </c:pt>
                <c:pt idx="82">
                  <c:v>155.30000000000001</c:v>
                </c:pt>
                <c:pt idx="83">
                  <c:v>161.4</c:v>
                </c:pt>
                <c:pt idx="84">
                  <c:v>169.8</c:v>
                </c:pt>
              </c:numCache>
            </c:numRef>
          </c:val>
        </c:ser>
        <c:ser>
          <c:idx val="7"/>
          <c:order val="5"/>
          <c:tx>
            <c:strRef>
              <c:f>'podľa vzdelania'!$A$52</c:f>
              <c:strCache>
                <c:ptCount val="1"/>
                <c:pt idx="0">
                  <c:v>Úplné stredné všeobecné</c:v>
                </c:pt>
              </c:strCache>
            </c:strRef>
          </c:tx>
          <c:invertIfNegative val="0"/>
          <c:cat>
            <c:strRef>
              <c:f>'podľa vzdelania'!$B$44:$CH$44</c:f>
              <c:strCache>
                <c:ptCount val="85"/>
                <c:pt idx="0">
                  <c:v>1994Q1</c:v>
                </c:pt>
                <c:pt idx="1">
                  <c:v>1994Q2</c:v>
                </c:pt>
                <c:pt idx="2">
                  <c:v>1994Q3</c:v>
                </c:pt>
                <c:pt idx="3">
                  <c:v>1994Q4</c:v>
                </c:pt>
                <c:pt idx="4">
                  <c:v>1995Q1</c:v>
                </c:pt>
                <c:pt idx="5">
                  <c:v>1995Q2</c:v>
                </c:pt>
                <c:pt idx="6">
                  <c:v>1995Q3</c:v>
                </c:pt>
                <c:pt idx="7">
                  <c:v>1995Q4</c:v>
                </c:pt>
                <c:pt idx="8">
                  <c:v>1996Q1</c:v>
                </c:pt>
                <c:pt idx="9">
                  <c:v>1996Q2</c:v>
                </c:pt>
                <c:pt idx="10">
                  <c:v>1996Q3</c:v>
                </c:pt>
                <c:pt idx="11">
                  <c:v>1996Q4</c:v>
                </c:pt>
                <c:pt idx="12">
                  <c:v>1997Q1</c:v>
                </c:pt>
                <c:pt idx="13">
                  <c:v>1997Q2</c:v>
                </c:pt>
                <c:pt idx="14">
                  <c:v>1997Q3</c:v>
                </c:pt>
                <c:pt idx="15">
                  <c:v>1997Q4</c:v>
                </c:pt>
                <c:pt idx="16">
                  <c:v>1998Q1</c:v>
                </c:pt>
                <c:pt idx="17">
                  <c:v>1998Q2</c:v>
                </c:pt>
                <c:pt idx="18">
                  <c:v>1998Q3</c:v>
                </c:pt>
                <c:pt idx="19">
                  <c:v>1998Q4</c:v>
                </c:pt>
                <c:pt idx="20">
                  <c:v>1999Q1</c:v>
                </c:pt>
                <c:pt idx="21">
                  <c:v>1999Q2</c:v>
                </c:pt>
                <c:pt idx="22">
                  <c:v>1999Q3</c:v>
                </c:pt>
                <c:pt idx="23">
                  <c:v>1999Q4</c:v>
                </c:pt>
                <c:pt idx="24">
                  <c:v>2000Q1</c:v>
                </c:pt>
                <c:pt idx="25">
                  <c:v>2000Q2</c:v>
                </c:pt>
                <c:pt idx="26">
                  <c:v>2000Q3</c:v>
                </c:pt>
                <c:pt idx="27">
                  <c:v>2000Q4</c:v>
                </c:pt>
                <c:pt idx="28">
                  <c:v>2001Q1</c:v>
                </c:pt>
                <c:pt idx="29">
                  <c:v>2001Q2</c:v>
                </c:pt>
                <c:pt idx="30">
                  <c:v>2001Q3</c:v>
                </c:pt>
                <c:pt idx="31">
                  <c:v>2001Q4</c:v>
                </c:pt>
                <c:pt idx="32">
                  <c:v>2002Q1</c:v>
                </c:pt>
                <c:pt idx="33">
                  <c:v>2002Q2</c:v>
                </c:pt>
                <c:pt idx="34">
                  <c:v>2002Q3</c:v>
                </c:pt>
                <c:pt idx="35">
                  <c:v>2002Q4</c:v>
                </c:pt>
                <c:pt idx="36">
                  <c:v>2003Q1</c:v>
                </c:pt>
                <c:pt idx="37">
                  <c:v>2003Q2</c:v>
                </c:pt>
                <c:pt idx="38">
                  <c:v>2003Q3</c:v>
                </c:pt>
                <c:pt idx="39">
                  <c:v>2003Q4</c:v>
                </c:pt>
                <c:pt idx="40">
                  <c:v>2004Q1</c:v>
                </c:pt>
                <c:pt idx="41">
                  <c:v>2004Q2</c:v>
                </c:pt>
                <c:pt idx="42">
                  <c:v>2004Q3</c:v>
                </c:pt>
                <c:pt idx="43">
                  <c:v>2004Q4</c:v>
                </c:pt>
                <c:pt idx="44">
                  <c:v>2005Q1</c:v>
                </c:pt>
                <c:pt idx="45">
                  <c:v>2005Q2</c:v>
                </c:pt>
                <c:pt idx="46">
                  <c:v>2005Q3</c:v>
                </c:pt>
                <c:pt idx="47">
                  <c:v>2005Q4</c:v>
                </c:pt>
                <c:pt idx="48">
                  <c:v>2006Q1</c:v>
                </c:pt>
                <c:pt idx="49">
                  <c:v>2006Q2</c:v>
                </c:pt>
                <c:pt idx="50">
                  <c:v>2006Q3</c:v>
                </c:pt>
                <c:pt idx="51">
                  <c:v>2006Q4</c:v>
                </c:pt>
                <c:pt idx="52">
                  <c:v>2007Q1</c:v>
                </c:pt>
                <c:pt idx="53">
                  <c:v>2007Q2</c:v>
                </c:pt>
                <c:pt idx="54">
                  <c:v>2007Q3</c:v>
                </c:pt>
                <c:pt idx="55">
                  <c:v>2007Q4</c:v>
                </c:pt>
                <c:pt idx="56">
                  <c:v>2008Q1</c:v>
                </c:pt>
                <c:pt idx="57">
                  <c:v>2008Q2</c:v>
                </c:pt>
                <c:pt idx="58">
                  <c:v>2008Q3</c:v>
                </c:pt>
                <c:pt idx="59">
                  <c:v>2008Q4</c:v>
                </c:pt>
                <c:pt idx="60">
                  <c:v>2009Q1</c:v>
                </c:pt>
                <c:pt idx="61">
                  <c:v>2009Q2</c:v>
                </c:pt>
                <c:pt idx="62">
                  <c:v>2009Q3</c:v>
                </c:pt>
                <c:pt idx="63">
                  <c:v>2009Q4</c:v>
                </c:pt>
                <c:pt idx="64">
                  <c:v>2010Q1</c:v>
                </c:pt>
                <c:pt idx="65">
                  <c:v>2010Q2</c:v>
                </c:pt>
                <c:pt idx="66">
                  <c:v>2010Q3</c:v>
                </c:pt>
                <c:pt idx="67">
                  <c:v>2010Q4</c:v>
                </c:pt>
                <c:pt idx="68">
                  <c:v>2011Q1</c:v>
                </c:pt>
                <c:pt idx="69">
                  <c:v>2011Q2</c:v>
                </c:pt>
                <c:pt idx="70">
                  <c:v>2011Q3</c:v>
                </c:pt>
                <c:pt idx="71">
                  <c:v>2011Q4</c:v>
                </c:pt>
                <c:pt idx="72">
                  <c:v>2012Q1</c:v>
                </c:pt>
                <c:pt idx="73">
                  <c:v>2012Q2</c:v>
                </c:pt>
                <c:pt idx="74">
                  <c:v>2012Q3</c:v>
                </c:pt>
                <c:pt idx="75">
                  <c:v>2012Q4</c:v>
                </c:pt>
                <c:pt idx="76">
                  <c:v>2013Q1</c:v>
                </c:pt>
                <c:pt idx="77">
                  <c:v>2013Q2</c:v>
                </c:pt>
                <c:pt idx="78">
                  <c:v>2013Q3</c:v>
                </c:pt>
                <c:pt idx="79">
                  <c:v>2013Q4</c:v>
                </c:pt>
                <c:pt idx="80">
                  <c:v>2014Q1</c:v>
                </c:pt>
                <c:pt idx="81">
                  <c:v>2014Q2</c:v>
                </c:pt>
                <c:pt idx="82">
                  <c:v>2014Q3</c:v>
                </c:pt>
                <c:pt idx="83">
                  <c:v>2014Q4</c:v>
                </c:pt>
                <c:pt idx="84">
                  <c:v>2015Q1</c:v>
                </c:pt>
              </c:strCache>
            </c:strRef>
          </c:cat>
          <c:val>
            <c:numRef>
              <c:f>'podľa vzdelania'!$B$52:$CH$52</c:f>
              <c:numCache>
                <c:formatCode>General</c:formatCode>
                <c:ptCount val="85"/>
                <c:pt idx="0">
                  <c:v>85.5</c:v>
                </c:pt>
                <c:pt idx="1">
                  <c:v>87.5</c:v>
                </c:pt>
                <c:pt idx="2">
                  <c:v>90.4</c:v>
                </c:pt>
                <c:pt idx="3">
                  <c:v>86.5</c:v>
                </c:pt>
                <c:pt idx="4">
                  <c:v>88.5</c:v>
                </c:pt>
                <c:pt idx="5">
                  <c:v>87.1</c:v>
                </c:pt>
                <c:pt idx="6">
                  <c:v>88.7</c:v>
                </c:pt>
                <c:pt idx="7">
                  <c:v>90.4</c:v>
                </c:pt>
                <c:pt idx="8">
                  <c:v>109</c:v>
                </c:pt>
                <c:pt idx="9">
                  <c:v>106.1</c:v>
                </c:pt>
                <c:pt idx="10">
                  <c:v>108</c:v>
                </c:pt>
                <c:pt idx="11">
                  <c:v>100.9</c:v>
                </c:pt>
                <c:pt idx="12">
                  <c:v>105</c:v>
                </c:pt>
                <c:pt idx="13">
                  <c:v>102.2</c:v>
                </c:pt>
                <c:pt idx="14">
                  <c:v>108.3</c:v>
                </c:pt>
                <c:pt idx="15">
                  <c:v>115.7</c:v>
                </c:pt>
                <c:pt idx="16">
                  <c:v>124.2</c:v>
                </c:pt>
                <c:pt idx="17">
                  <c:v>129.19999999999999</c:v>
                </c:pt>
                <c:pt idx="18">
                  <c:v>133.19999999999999</c:v>
                </c:pt>
                <c:pt idx="19">
                  <c:v>122.7</c:v>
                </c:pt>
                <c:pt idx="20">
                  <c:v>123.1</c:v>
                </c:pt>
                <c:pt idx="21">
                  <c:v>123.8</c:v>
                </c:pt>
                <c:pt idx="22">
                  <c:v>116.9</c:v>
                </c:pt>
                <c:pt idx="23">
                  <c:v>114.9</c:v>
                </c:pt>
                <c:pt idx="24">
                  <c:v>122.6</c:v>
                </c:pt>
                <c:pt idx="25">
                  <c:v>113.3</c:v>
                </c:pt>
                <c:pt idx="26">
                  <c:v>107.8</c:v>
                </c:pt>
                <c:pt idx="27">
                  <c:v>108.4</c:v>
                </c:pt>
                <c:pt idx="28">
                  <c:v>109.3</c:v>
                </c:pt>
                <c:pt idx="29">
                  <c:v>105.4</c:v>
                </c:pt>
                <c:pt idx="30">
                  <c:v>103.4</c:v>
                </c:pt>
                <c:pt idx="31">
                  <c:v>103.7</c:v>
                </c:pt>
                <c:pt idx="32">
                  <c:v>95.6</c:v>
                </c:pt>
                <c:pt idx="33">
                  <c:v>92.5</c:v>
                </c:pt>
                <c:pt idx="34">
                  <c:v>91.4</c:v>
                </c:pt>
                <c:pt idx="35">
                  <c:v>92.6</c:v>
                </c:pt>
                <c:pt idx="36">
                  <c:v>97.3</c:v>
                </c:pt>
                <c:pt idx="37">
                  <c:v>95.3</c:v>
                </c:pt>
                <c:pt idx="38">
                  <c:v>99.6</c:v>
                </c:pt>
                <c:pt idx="39">
                  <c:v>95.9</c:v>
                </c:pt>
                <c:pt idx="40">
                  <c:v>91.8</c:v>
                </c:pt>
                <c:pt idx="41">
                  <c:v>93.5</c:v>
                </c:pt>
                <c:pt idx="42">
                  <c:v>101.7</c:v>
                </c:pt>
                <c:pt idx="43">
                  <c:v>96.5</c:v>
                </c:pt>
                <c:pt idx="44">
                  <c:v>98.3</c:v>
                </c:pt>
                <c:pt idx="45">
                  <c:v>98.8</c:v>
                </c:pt>
                <c:pt idx="46">
                  <c:v>96.7</c:v>
                </c:pt>
                <c:pt idx="47">
                  <c:v>97.3</c:v>
                </c:pt>
                <c:pt idx="48">
                  <c:v>100.7</c:v>
                </c:pt>
                <c:pt idx="49">
                  <c:v>101.5</c:v>
                </c:pt>
                <c:pt idx="50">
                  <c:v>100.5</c:v>
                </c:pt>
                <c:pt idx="51">
                  <c:v>100.3</c:v>
                </c:pt>
                <c:pt idx="52">
                  <c:v>100.3</c:v>
                </c:pt>
                <c:pt idx="53">
                  <c:v>98.1</c:v>
                </c:pt>
                <c:pt idx="54">
                  <c:v>101</c:v>
                </c:pt>
                <c:pt idx="55">
                  <c:v>107.4</c:v>
                </c:pt>
                <c:pt idx="56">
                  <c:v>104.4</c:v>
                </c:pt>
                <c:pt idx="57">
                  <c:v>101.1</c:v>
                </c:pt>
                <c:pt idx="58">
                  <c:v>105</c:v>
                </c:pt>
                <c:pt idx="59">
                  <c:v>104</c:v>
                </c:pt>
                <c:pt idx="60">
                  <c:v>95.6</c:v>
                </c:pt>
                <c:pt idx="61">
                  <c:v>104.3</c:v>
                </c:pt>
                <c:pt idx="62">
                  <c:v>105.3</c:v>
                </c:pt>
                <c:pt idx="63">
                  <c:v>98</c:v>
                </c:pt>
                <c:pt idx="64">
                  <c:v>99.3</c:v>
                </c:pt>
                <c:pt idx="65">
                  <c:v>99.8</c:v>
                </c:pt>
                <c:pt idx="66">
                  <c:v>97.1</c:v>
                </c:pt>
                <c:pt idx="67">
                  <c:v>98.1</c:v>
                </c:pt>
                <c:pt idx="68">
                  <c:v>100.4</c:v>
                </c:pt>
                <c:pt idx="69">
                  <c:v>100.8</c:v>
                </c:pt>
                <c:pt idx="70">
                  <c:v>101</c:v>
                </c:pt>
                <c:pt idx="71">
                  <c:v>97.4</c:v>
                </c:pt>
                <c:pt idx="72">
                  <c:v>98.3</c:v>
                </c:pt>
                <c:pt idx="73">
                  <c:v>100.9</c:v>
                </c:pt>
                <c:pt idx="74">
                  <c:v>98.8</c:v>
                </c:pt>
                <c:pt idx="75">
                  <c:v>96.1</c:v>
                </c:pt>
                <c:pt idx="76">
                  <c:v>98.5</c:v>
                </c:pt>
                <c:pt idx="77">
                  <c:v>103.6</c:v>
                </c:pt>
                <c:pt idx="78">
                  <c:v>100</c:v>
                </c:pt>
                <c:pt idx="79">
                  <c:v>98.1</c:v>
                </c:pt>
                <c:pt idx="80">
                  <c:v>93.4</c:v>
                </c:pt>
                <c:pt idx="81">
                  <c:v>91.7</c:v>
                </c:pt>
                <c:pt idx="82">
                  <c:v>90.5</c:v>
                </c:pt>
                <c:pt idx="83">
                  <c:v>90.9</c:v>
                </c:pt>
                <c:pt idx="84">
                  <c:v>89.3</c:v>
                </c:pt>
              </c:numCache>
            </c:numRef>
          </c:val>
        </c:ser>
        <c:ser>
          <c:idx val="8"/>
          <c:order val="6"/>
          <c:tx>
            <c:strRef>
              <c:f>'podľa vzdelania'!$A$53</c:f>
              <c:strCache>
                <c:ptCount val="1"/>
                <c:pt idx="0">
                  <c:v>Úplné stredné odborné</c:v>
                </c:pt>
              </c:strCache>
            </c:strRef>
          </c:tx>
          <c:invertIfNegative val="0"/>
          <c:cat>
            <c:strRef>
              <c:f>'podľa vzdelania'!$B$44:$CH$44</c:f>
              <c:strCache>
                <c:ptCount val="85"/>
                <c:pt idx="0">
                  <c:v>1994Q1</c:v>
                </c:pt>
                <c:pt idx="1">
                  <c:v>1994Q2</c:v>
                </c:pt>
                <c:pt idx="2">
                  <c:v>1994Q3</c:v>
                </c:pt>
                <c:pt idx="3">
                  <c:v>1994Q4</c:v>
                </c:pt>
                <c:pt idx="4">
                  <c:v>1995Q1</c:v>
                </c:pt>
                <c:pt idx="5">
                  <c:v>1995Q2</c:v>
                </c:pt>
                <c:pt idx="6">
                  <c:v>1995Q3</c:v>
                </c:pt>
                <c:pt idx="7">
                  <c:v>1995Q4</c:v>
                </c:pt>
                <c:pt idx="8">
                  <c:v>1996Q1</c:v>
                </c:pt>
                <c:pt idx="9">
                  <c:v>1996Q2</c:v>
                </c:pt>
                <c:pt idx="10">
                  <c:v>1996Q3</c:v>
                </c:pt>
                <c:pt idx="11">
                  <c:v>1996Q4</c:v>
                </c:pt>
                <c:pt idx="12">
                  <c:v>1997Q1</c:v>
                </c:pt>
                <c:pt idx="13">
                  <c:v>1997Q2</c:v>
                </c:pt>
                <c:pt idx="14">
                  <c:v>1997Q3</c:v>
                </c:pt>
                <c:pt idx="15">
                  <c:v>1997Q4</c:v>
                </c:pt>
                <c:pt idx="16">
                  <c:v>1998Q1</c:v>
                </c:pt>
                <c:pt idx="17">
                  <c:v>1998Q2</c:v>
                </c:pt>
                <c:pt idx="18">
                  <c:v>1998Q3</c:v>
                </c:pt>
                <c:pt idx="19">
                  <c:v>1998Q4</c:v>
                </c:pt>
                <c:pt idx="20">
                  <c:v>1999Q1</c:v>
                </c:pt>
                <c:pt idx="21">
                  <c:v>1999Q2</c:v>
                </c:pt>
                <c:pt idx="22">
                  <c:v>1999Q3</c:v>
                </c:pt>
                <c:pt idx="23">
                  <c:v>1999Q4</c:v>
                </c:pt>
                <c:pt idx="24">
                  <c:v>2000Q1</c:v>
                </c:pt>
                <c:pt idx="25">
                  <c:v>2000Q2</c:v>
                </c:pt>
                <c:pt idx="26">
                  <c:v>2000Q3</c:v>
                </c:pt>
                <c:pt idx="27">
                  <c:v>2000Q4</c:v>
                </c:pt>
                <c:pt idx="28">
                  <c:v>2001Q1</c:v>
                </c:pt>
                <c:pt idx="29">
                  <c:v>2001Q2</c:v>
                </c:pt>
                <c:pt idx="30">
                  <c:v>2001Q3</c:v>
                </c:pt>
                <c:pt idx="31">
                  <c:v>2001Q4</c:v>
                </c:pt>
                <c:pt idx="32">
                  <c:v>2002Q1</c:v>
                </c:pt>
                <c:pt idx="33">
                  <c:v>2002Q2</c:v>
                </c:pt>
                <c:pt idx="34">
                  <c:v>2002Q3</c:v>
                </c:pt>
                <c:pt idx="35">
                  <c:v>2002Q4</c:v>
                </c:pt>
                <c:pt idx="36">
                  <c:v>2003Q1</c:v>
                </c:pt>
                <c:pt idx="37">
                  <c:v>2003Q2</c:v>
                </c:pt>
                <c:pt idx="38">
                  <c:v>2003Q3</c:v>
                </c:pt>
                <c:pt idx="39">
                  <c:v>2003Q4</c:v>
                </c:pt>
                <c:pt idx="40">
                  <c:v>2004Q1</c:v>
                </c:pt>
                <c:pt idx="41">
                  <c:v>2004Q2</c:v>
                </c:pt>
                <c:pt idx="42">
                  <c:v>2004Q3</c:v>
                </c:pt>
                <c:pt idx="43">
                  <c:v>2004Q4</c:v>
                </c:pt>
                <c:pt idx="44">
                  <c:v>2005Q1</c:v>
                </c:pt>
                <c:pt idx="45">
                  <c:v>2005Q2</c:v>
                </c:pt>
                <c:pt idx="46">
                  <c:v>2005Q3</c:v>
                </c:pt>
                <c:pt idx="47">
                  <c:v>2005Q4</c:v>
                </c:pt>
                <c:pt idx="48">
                  <c:v>2006Q1</c:v>
                </c:pt>
                <c:pt idx="49">
                  <c:v>2006Q2</c:v>
                </c:pt>
                <c:pt idx="50">
                  <c:v>2006Q3</c:v>
                </c:pt>
                <c:pt idx="51">
                  <c:v>2006Q4</c:v>
                </c:pt>
                <c:pt idx="52">
                  <c:v>2007Q1</c:v>
                </c:pt>
                <c:pt idx="53">
                  <c:v>2007Q2</c:v>
                </c:pt>
                <c:pt idx="54">
                  <c:v>2007Q3</c:v>
                </c:pt>
                <c:pt idx="55">
                  <c:v>2007Q4</c:v>
                </c:pt>
                <c:pt idx="56">
                  <c:v>2008Q1</c:v>
                </c:pt>
                <c:pt idx="57">
                  <c:v>2008Q2</c:v>
                </c:pt>
                <c:pt idx="58">
                  <c:v>2008Q3</c:v>
                </c:pt>
                <c:pt idx="59">
                  <c:v>2008Q4</c:v>
                </c:pt>
                <c:pt idx="60">
                  <c:v>2009Q1</c:v>
                </c:pt>
                <c:pt idx="61">
                  <c:v>2009Q2</c:v>
                </c:pt>
                <c:pt idx="62">
                  <c:v>2009Q3</c:v>
                </c:pt>
                <c:pt idx="63">
                  <c:v>2009Q4</c:v>
                </c:pt>
                <c:pt idx="64">
                  <c:v>2010Q1</c:v>
                </c:pt>
                <c:pt idx="65">
                  <c:v>2010Q2</c:v>
                </c:pt>
                <c:pt idx="66">
                  <c:v>2010Q3</c:v>
                </c:pt>
                <c:pt idx="67">
                  <c:v>2010Q4</c:v>
                </c:pt>
                <c:pt idx="68">
                  <c:v>2011Q1</c:v>
                </c:pt>
                <c:pt idx="69">
                  <c:v>2011Q2</c:v>
                </c:pt>
                <c:pt idx="70">
                  <c:v>2011Q3</c:v>
                </c:pt>
                <c:pt idx="71">
                  <c:v>2011Q4</c:v>
                </c:pt>
                <c:pt idx="72">
                  <c:v>2012Q1</c:v>
                </c:pt>
                <c:pt idx="73">
                  <c:v>2012Q2</c:v>
                </c:pt>
                <c:pt idx="74">
                  <c:v>2012Q3</c:v>
                </c:pt>
                <c:pt idx="75">
                  <c:v>2012Q4</c:v>
                </c:pt>
                <c:pt idx="76">
                  <c:v>2013Q1</c:v>
                </c:pt>
                <c:pt idx="77">
                  <c:v>2013Q2</c:v>
                </c:pt>
                <c:pt idx="78">
                  <c:v>2013Q3</c:v>
                </c:pt>
                <c:pt idx="79">
                  <c:v>2013Q4</c:v>
                </c:pt>
                <c:pt idx="80">
                  <c:v>2014Q1</c:v>
                </c:pt>
                <c:pt idx="81">
                  <c:v>2014Q2</c:v>
                </c:pt>
                <c:pt idx="82">
                  <c:v>2014Q3</c:v>
                </c:pt>
                <c:pt idx="83">
                  <c:v>2014Q4</c:v>
                </c:pt>
                <c:pt idx="84">
                  <c:v>2015Q1</c:v>
                </c:pt>
              </c:strCache>
            </c:strRef>
          </c:cat>
          <c:val>
            <c:numRef>
              <c:f>'podľa vzdelania'!$B$53:$CH$53</c:f>
              <c:numCache>
                <c:formatCode>General</c:formatCode>
                <c:ptCount val="85"/>
                <c:pt idx="0">
                  <c:v>579.29999999999995</c:v>
                </c:pt>
                <c:pt idx="1">
                  <c:v>593.5</c:v>
                </c:pt>
                <c:pt idx="2">
                  <c:v>594.79999999999995</c:v>
                </c:pt>
                <c:pt idx="3">
                  <c:v>590</c:v>
                </c:pt>
                <c:pt idx="4">
                  <c:v>600.29999999999995</c:v>
                </c:pt>
                <c:pt idx="5">
                  <c:v>611.20000000000005</c:v>
                </c:pt>
                <c:pt idx="6">
                  <c:v>609</c:v>
                </c:pt>
                <c:pt idx="7">
                  <c:v>622.6</c:v>
                </c:pt>
                <c:pt idx="8">
                  <c:v>642.79999999999995</c:v>
                </c:pt>
                <c:pt idx="9">
                  <c:v>641.5</c:v>
                </c:pt>
                <c:pt idx="10">
                  <c:v>639.1</c:v>
                </c:pt>
                <c:pt idx="11">
                  <c:v>655</c:v>
                </c:pt>
                <c:pt idx="12">
                  <c:v>645.70000000000005</c:v>
                </c:pt>
                <c:pt idx="13">
                  <c:v>637.4</c:v>
                </c:pt>
                <c:pt idx="14">
                  <c:v>625</c:v>
                </c:pt>
                <c:pt idx="15">
                  <c:v>621.79999999999995</c:v>
                </c:pt>
                <c:pt idx="16">
                  <c:v>612</c:v>
                </c:pt>
                <c:pt idx="17">
                  <c:v>612.20000000000005</c:v>
                </c:pt>
                <c:pt idx="18">
                  <c:v>609</c:v>
                </c:pt>
                <c:pt idx="19">
                  <c:v>607.79999999999995</c:v>
                </c:pt>
                <c:pt idx="20">
                  <c:v>622.79999999999995</c:v>
                </c:pt>
                <c:pt idx="21">
                  <c:v>621.29999999999995</c:v>
                </c:pt>
                <c:pt idx="22">
                  <c:v>629.70000000000005</c:v>
                </c:pt>
                <c:pt idx="23">
                  <c:v>644.20000000000005</c:v>
                </c:pt>
                <c:pt idx="24">
                  <c:v>653.5</c:v>
                </c:pt>
                <c:pt idx="25">
                  <c:v>651.29999999999995</c:v>
                </c:pt>
                <c:pt idx="26">
                  <c:v>670.8</c:v>
                </c:pt>
                <c:pt idx="27">
                  <c:v>671.9</c:v>
                </c:pt>
                <c:pt idx="28">
                  <c:v>671.8</c:v>
                </c:pt>
                <c:pt idx="29">
                  <c:v>680.4</c:v>
                </c:pt>
                <c:pt idx="30">
                  <c:v>682.4</c:v>
                </c:pt>
                <c:pt idx="31">
                  <c:v>679.5</c:v>
                </c:pt>
                <c:pt idx="32">
                  <c:v>688.9</c:v>
                </c:pt>
                <c:pt idx="33">
                  <c:v>691</c:v>
                </c:pt>
                <c:pt idx="34">
                  <c:v>704</c:v>
                </c:pt>
                <c:pt idx="35">
                  <c:v>720.1</c:v>
                </c:pt>
                <c:pt idx="36">
                  <c:v>719.5</c:v>
                </c:pt>
                <c:pt idx="37">
                  <c:v>729.8</c:v>
                </c:pt>
                <c:pt idx="38">
                  <c:v>729.9</c:v>
                </c:pt>
                <c:pt idx="39">
                  <c:v>730.1</c:v>
                </c:pt>
                <c:pt idx="40">
                  <c:v>732.9</c:v>
                </c:pt>
                <c:pt idx="41">
                  <c:v>737.4</c:v>
                </c:pt>
                <c:pt idx="42">
                  <c:v>747.5</c:v>
                </c:pt>
                <c:pt idx="43">
                  <c:v>769.1</c:v>
                </c:pt>
                <c:pt idx="44">
                  <c:v>771.4</c:v>
                </c:pt>
                <c:pt idx="45">
                  <c:v>769</c:v>
                </c:pt>
                <c:pt idx="46">
                  <c:v>785.5</c:v>
                </c:pt>
                <c:pt idx="47">
                  <c:v>788</c:v>
                </c:pt>
                <c:pt idx="48">
                  <c:v>776.3</c:v>
                </c:pt>
                <c:pt idx="49">
                  <c:v>782.5</c:v>
                </c:pt>
                <c:pt idx="50">
                  <c:v>795</c:v>
                </c:pt>
                <c:pt idx="51">
                  <c:v>800.4</c:v>
                </c:pt>
                <c:pt idx="52">
                  <c:v>804.4</c:v>
                </c:pt>
                <c:pt idx="53">
                  <c:v>813.9</c:v>
                </c:pt>
                <c:pt idx="54">
                  <c:v>827.7</c:v>
                </c:pt>
                <c:pt idx="55">
                  <c:v>843.2</c:v>
                </c:pt>
                <c:pt idx="56">
                  <c:v>847.3</c:v>
                </c:pt>
                <c:pt idx="57">
                  <c:v>858.4</c:v>
                </c:pt>
                <c:pt idx="58">
                  <c:v>863.6</c:v>
                </c:pt>
                <c:pt idx="59">
                  <c:v>860.4</c:v>
                </c:pt>
                <c:pt idx="60">
                  <c:v>840.5</c:v>
                </c:pt>
                <c:pt idx="61">
                  <c:v>846.8</c:v>
                </c:pt>
                <c:pt idx="62">
                  <c:v>833.9</c:v>
                </c:pt>
                <c:pt idx="63">
                  <c:v>848.5</c:v>
                </c:pt>
                <c:pt idx="64">
                  <c:v>820.1</c:v>
                </c:pt>
                <c:pt idx="65">
                  <c:v>820.8</c:v>
                </c:pt>
                <c:pt idx="66">
                  <c:v>834.3</c:v>
                </c:pt>
                <c:pt idx="67">
                  <c:v>837</c:v>
                </c:pt>
                <c:pt idx="68">
                  <c:v>794.6</c:v>
                </c:pt>
                <c:pt idx="69">
                  <c:v>805.5</c:v>
                </c:pt>
                <c:pt idx="70">
                  <c:v>804.9</c:v>
                </c:pt>
                <c:pt idx="71">
                  <c:v>778.2</c:v>
                </c:pt>
                <c:pt idx="72">
                  <c:v>769.2</c:v>
                </c:pt>
                <c:pt idx="73">
                  <c:v>782.3</c:v>
                </c:pt>
                <c:pt idx="74">
                  <c:v>787.8</c:v>
                </c:pt>
                <c:pt idx="75">
                  <c:v>797.2</c:v>
                </c:pt>
                <c:pt idx="76">
                  <c:v>819.3</c:v>
                </c:pt>
                <c:pt idx="77">
                  <c:v>828.6</c:v>
                </c:pt>
                <c:pt idx="78">
                  <c:v>833</c:v>
                </c:pt>
                <c:pt idx="79">
                  <c:v>836.5</c:v>
                </c:pt>
                <c:pt idx="80">
                  <c:v>813.5</c:v>
                </c:pt>
                <c:pt idx="81">
                  <c:v>808.2</c:v>
                </c:pt>
                <c:pt idx="82">
                  <c:v>809.4</c:v>
                </c:pt>
                <c:pt idx="83">
                  <c:v>807.5</c:v>
                </c:pt>
                <c:pt idx="84">
                  <c:v>811.9</c:v>
                </c:pt>
              </c:numCache>
            </c:numRef>
          </c:val>
        </c:ser>
        <c:ser>
          <c:idx val="11"/>
          <c:order val="7"/>
          <c:tx>
            <c:strRef>
              <c:f>'podľa vzdelania'!$A$56</c:f>
              <c:strCache>
                <c:ptCount val="1"/>
                <c:pt idx="0">
                  <c:v>Vysokoškolské - 2. stupeň</c:v>
                </c:pt>
              </c:strCache>
            </c:strRef>
          </c:tx>
          <c:invertIfNegative val="0"/>
          <c:cat>
            <c:strRef>
              <c:f>'podľa vzdelania'!$B$44:$CH$44</c:f>
              <c:strCache>
                <c:ptCount val="85"/>
                <c:pt idx="0">
                  <c:v>1994Q1</c:v>
                </c:pt>
                <c:pt idx="1">
                  <c:v>1994Q2</c:v>
                </c:pt>
                <c:pt idx="2">
                  <c:v>1994Q3</c:v>
                </c:pt>
                <c:pt idx="3">
                  <c:v>1994Q4</c:v>
                </c:pt>
                <c:pt idx="4">
                  <c:v>1995Q1</c:v>
                </c:pt>
                <c:pt idx="5">
                  <c:v>1995Q2</c:v>
                </c:pt>
                <c:pt idx="6">
                  <c:v>1995Q3</c:v>
                </c:pt>
                <c:pt idx="7">
                  <c:v>1995Q4</c:v>
                </c:pt>
                <c:pt idx="8">
                  <c:v>1996Q1</c:v>
                </c:pt>
                <c:pt idx="9">
                  <c:v>1996Q2</c:v>
                </c:pt>
                <c:pt idx="10">
                  <c:v>1996Q3</c:v>
                </c:pt>
                <c:pt idx="11">
                  <c:v>1996Q4</c:v>
                </c:pt>
                <c:pt idx="12">
                  <c:v>1997Q1</c:v>
                </c:pt>
                <c:pt idx="13">
                  <c:v>1997Q2</c:v>
                </c:pt>
                <c:pt idx="14">
                  <c:v>1997Q3</c:v>
                </c:pt>
                <c:pt idx="15">
                  <c:v>1997Q4</c:v>
                </c:pt>
                <c:pt idx="16">
                  <c:v>1998Q1</c:v>
                </c:pt>
                <c:pt idx="17">
                  <c:v>1998Q2</c:v>
                </c:pt>
                <c:pt idx="18">
                  <c:v>1998Q3</c:v>
                </c:pt>
                <c:pt idx="19">
                  <c:v>1998Q4</c:v>
                </c:pt>
                <c:pt idx="20">
                  <c:v>1999Q1</c:v>
                </c:pt>
                <c:pt idx="21">
                  <c:v>1999Q2</c:v>
                </c:pt>
                <c:pt idx="22">
                  <c:v>1999Q3</c:v>
                </c:pt>
                <c:pt idx="23">
                  <c:v>1999Q4</c:v>
                </c:pt>
                <c:pt idx="24">
                  <c:v>2000Q1</c:v>
                </c:pt>
                <c:pt idx="25">
                  <c:v>2000Q2</c:v>
                </c:pt>
                <c:pt idx="26">
                  <c:v>2000Q3</c:v>
                </c:pt>
                <c:pt idx="27">
                  <c:v>2000Q4</c:v>
                </c:pt>
                <c:pt idx="28">
                  <c:v>2001Q1</c:v>
                </c:pt>
                <c:pt idx="29">
                  <c:v>2001Q2</c:v>
                </c:pt>
                <c:pt idx="30">
                  <c:v>2001Q3</c:v>
                </c:pt>
                <c:pt idx="31">
                  <c:v>2001Q4</c:v>
                </c:pt>
                <c:pt idx="32">
                  <c:v>2002Q1</c:v>
                </c:pt>
                <c:pt idx="33">
                  <c:v>2002Q2</c:v>
                </c:pt>
                <c:pt idx="34">
                  <c:v>2002Q3</c:v>
                </c:pt>
                <c:pt idx="35">
                  <c:v>2002Q4</c:v>
                </c:pt>
                <c:pt idx="36">
                  <c:v>2003Q1</c:v>
                </c:pt>
                <c:pt idx="37">
                  <c:v>2003Q2</c:v>
                </c:pt>
                <c:pt idx="38">
                  <c:v>2003Q3</c:v>
                </c:pt>
                <c:pt idx="39">
                  <c:v>2003Q4</c:v>
                </c:pt>
                <c:pt idx="40">
                  <c:v>2004Q1</c:v>
                </c:pt>
                <c:pt idx="41">
                  <c:v>2004Q2</c:v>
                </c:pt>
                <c:pt idx="42">
                  <c:v>2004Q3</c:v>
                </c:pt>
                <c:pt idx="43">
                  <c:v>2004Q4</c:v>
                </c:pt>
                <c:pt idx="44">
                  <c:v>2005Q1</c:v>
                </c:pt>
                <c:pt idx="45">
                  <c:v>2005Q2</c:v>
                </c:pt>
                <c:pt idx="46">
                  <c:v>2005Q3</c:v>
                </c:pt>
                <c:pt idx="47">
                  <c:v>2005Q4</c:v>
                </c:pt>
                <c:pt idx="48">
                  <c:v>2006Q1</c:v>
                </c:pt>
                <c:pt idx="49">
                  <c:v>2006Q2</c:v>
                </c:pt>
                <c:pt idx="50">
                  <c:v>2006Q3</c:v>
                </c:pt>
                <c:pt idx="51">
                  <c:v>2006Q4</c:v>
                </c:pt>
                <c:pt idx="52">
                  <c:v>2007Q1</c:v>
                </c:pt>
                <c:pt idx="53">
                  <c:v>2007Q2</c:v>
                </c:pt>
                <c:pt idx="54">
                  <c:v>2007Q3</c:v>
                </c:pt>
                <c:pt idx="55">
                  <c:v>2007Q4</c:v>
                </c:pt>
                <c:pt idx="56">
                  <c:v>2008Q1</c:v>
                </c:pt>
                <c:pt idx="57">
                  <c:v>2008Q2</c:v>
                </c:pt>
                <c:pt idx="58">
                  <c:v>2008Q3</c:v>
                </c:pt>
                <c:pt idx="59">
                  <c:v>2008Q4</c:v>
                </c:pt>
                <c:pt idx="60">
                  <c:v>2009Q1</c:v>
                </c:pt>
                <c:pt idx="61">
                  <c:v>2009Q2</c:v>
                </c:pt>
                <c:pt idx="62">
                  <c:v>2009Q3</c:v>
                </c:pt>
                <c:pt idx="63">
                  <c:v>2009Q4</c:v>
                </c:pt>
                <c:pt idx="64">
                  <c:v>2010Q1</c:v>
                </c:pt>
                <c:pt idx="65">
                  <c:v>2010Q2</c:v>
                </c:pt>
                <c:pt idx="66">
                  <c:v>2010Q3</c:v>
                </c:pt>
                <c:pt idx="67">
                  <c:v>2010Q4</c:v>
                </c:pt>
                <c:pt idx="68">
                  <c:v>2011Q1</c:v>
                </c:pt>
                <c:pt idx="69">
                  <c:v>2011Q2</c:v>
                </c:pt>
                <c:pt idx="70">
                  <c:v>2011Q3</c:v>
                </c:pt>
                <c:pt idx="71">
                  <c:v>2011Q4</c:v>
                </c:pt>
                <c:pt idx="72">
                  <c:v>2012Q1</c:v>
                </c:pt>
                <c:pt idx="73">
                  <c:v>2012Q2</c:v>
                </c:pt>
                <c:pt idx="74">
                  <c:v>2012Q3</c:v>
                </c:pt>
                <c:pt idx="75">
                  <c:v>2012Q4</c:v>
                </c:pt>
                <c:pt idx="76">
                  <c:v>2013Q1</c:v>
                </c:pt>
                <c:pt idx="77">
                  <c:v>2013Q2</c:v>
                </c:pt>
                <c:pt idx="78">
                  <c:v>2013Q3</c:v>
                </c:pt>
                <c:pt idx="79">
                  <c:v>2013Q4</c:v>
                </c:pt>
                <c:pt idx="80">
                  <c:v>2014Q1</c:v>
                </c:pt>
                <c:pt idx="81">
                  <c:v>2014Q2</c:v>
                </c:pt>
                <c:pt idx="82">
                  <c:v>2014Q3</c:v>
                </c:pt>
                <c:pt idx="83">
                  <c:v>2014Q4</c:v>
                </c:pt>
                <c:pt idx="84">
                  <c:v>2015Q1</c:v>
                </c:pt>
              </c:strCache>
            </c:strRef>
          </c:cat>
          <c:val>
            <c:numRef>
              <c:f>'podľa vzdelania'!$B$56:$CH$56</c:f>
              <c:numCache>
                <c:formatCode>General</c:formatCode>
                <c:ptCount val="85"/>
                <c:pt idx="0">
                  <c:v>278.2</c:v>
                </c:pt>
                <c:pt idx="1">
                  <c:v>282.60000000000002</c:v>
                </c:pt>
                <c:pt idx="2">
                  <c:v>271.7</c:v>
                </c:pt>
                <c:pt idx="3">
                  <c:v>268.60000000000002</c:v>
                </c:pt>
                <c:pt idx="4">
                  <c:v>267.8</c:v>
                </c:pt>
                <c:pt idx="5">
                  <c:v>269.7</c:v>
                </c:pt>
                <c:pt idx="6">
                  <c:v>270.5</c:v>
                </c:pt>
                <c:pt idx="7">
                  <c:v>271.7</c:v>
                </c:pt>
                <c:pt idx="8">
                  <c:v>247.2</c:v>
                </c:pt>
                <c:pt idx="9">
                  <c:v>251.1</c:v>
                </c:pt>
                <c:pt idx="10">
                  <c:v>248.7</c:v>
                </c:pt>
                <c:pt idx="11">
                  <c:v>249.8</c:v>
                </c:pt>
                <c:pt idx="12">
                  <c:v>238.2</c:v>
                </c:pt>
                <c:pt idx="13">
                  <c:v>235.8</c:v>
                </c:pt>
                <c:pt idx="14">
                  <c:v>241.4</c:v>
                </c:pt>
                <c:pt idx="15">
                  <c:v>242.3</c:v>
                </c:pt>
                <c:pt idx="16">
                  <c:v>250.7</c:v>
                </c:pt>
                <c:pt idx="17">
                  <c:v>248.6</c:v>
                </c:pt>
                <c:pt idx="18">
                  <c:v>240.7</c:v>
                </c:pt>
                <c:pt idx="19">
                  <c:v>239.1</c:v>
                </c:pt>
                <c:pt idx="20">
                  <c:v>249</c:v>
                </c:pt>
                <c:pt idx="21">
                  <c:v>236.9</c:v>
                </c:pt>
                <c:pt idx="22">
                  <c:v>237.2</c:v>
                </c:pt>
                <c:pt idx="23">
                  <c:v>230.8</c:v>
                </c:pt>
                <c:pt idx="24">
                  <c:v>226</c:v>
                </c:pt>
                <c:pt idx="25">
                  <c:v>232.9</c:v>
                </c:pt>
                <c:pt idx="26">
                  <c:v>234.8</c:v>
                </c:pt>
                <c:pt idx="27">
                  <c:v>238.7</c:v>
                </c:pt>
                <c:pt idx="28">
                  <c:v>254</c:v>
                </c:pt>
                <c:pt idx="29">
                  <c:v>250.8</c:v>
                </c:pt>
                <c:pt idx="30">
                  <c:v>257.2</c:v>
                </c:pt>
                <c:pt idx="31">
                  <c:v>268.39999999999998</c:v>
                </c:pt>
                <c:pt idx="32">
                  <c:v>262.7</c:v>
                </c:pt>
                <c:pt idx="33">
                  <c:v>255.9</c:v>
                </c:pt>
                <c:pt idx="34">
                  <c:v>257.60000000000002</c:v>
                </c:pt>
                <c:pt idx="35">
                  <c:v>260</c:v>
                </c:pt>
                <c:pt idx="36">
                  <c:v>269.10000000000002</c:v>
                </c:pt>
                <c:pt idx="37">
                  <c:v>278.60000000000002</c:v>
                </c:pt>
                <c:pt idx="38">
                  <c:v>286.60000000000002</c:v>
                </c:pt>
                <c:pt idx="39">
                  <c:v>295.7</c:v>
                </c:pt>
                <c:pt idx="40">
                  <c:v>297</c:v>
                </c:pt>
                <c:pt idx="41">
                  <c:v>298.2</c:v>
                </c:pt>
                <c:pt idx="42">
                  <c:v>298.2</c:v>
                </c:pt>
                <c:pt idx="43">
                  <c:v>304.60000000000002</c:v>
                </c:pt>
                <c:pt idx="44">
                  <c:v>313.10000000000002</c:v>
                </c:pt>
                <c:pt idx="45">
                  <c:v>324.2</c:v>
                </c:pt>
                <c:pt idx="46">
                  <c:v>325.60000000000002</c:v>
                </c:pt>
                <c:pt idx="47">
                  <c:v>344.4</c:v>
                </c:pt>
                <c:pt idx="48">
                  <c:v>349.3</c:v>
                </c:pt>
                <c:pt idx="49">
                  <c:v>339.8</c:v>
                </c:pt>
                <c:pt idx="50">
                  <c:v>340</c:v>
                </c:pt>
                <c:pt idx="51">
                  <c:v>353.6</c:v>
                </c:pt>
                <c:pt idx="52">
                  <c:v>339.9</c:v>
                </c:pt>
                <c:pt idx="53">
                  <c:v>335.2</c:v>
                </c:pt>
                <c:pt idx="54">
                  <c:v>346.4</c:v>
                </c:pt>
                <c:pt idx="55">
                  <c:v>345.6</c:v>
                </c:pt>
                <c:pt idx="56">
                  <c:v>352.6</c:v>
                </c:pt>
                <c:pt idx="57">
                  <c:v>349.7</c:v>
                </c:pt>
                <c:pt idx="58">
                  <c:v>361.6</c:v>
                </c:pt>
                <c:pt idx="59">
                  <c:v>360.3</c:v>
                </c:pt>
                <c:pt idx="60">
                  <c:v>361.9</c:v>
                </c:pt>
                <c:pt idx="61">
                  <c:v>359.3</c:v>
                </c:pt>
                <c:pt idx="62">
                  <c:v>363.3</c:v>
                </c:pt>
                <c:pt idx="63">
                  <c:v>366.5</c:v>
                </c:pt>
                <c:pt idx="64">
                  <c:v>378.9</c:v>
                </c:pt>
                <c:pt idx="65">
                  <c:v>393</c:v>
                </c:pt>
                <c:pt idx="66">
                  <c:v>403</c:v>
                </c:pt>
                <c:pt idx="67">
                  <c:v>417.7</c:v>
                </c:pt>
                <c:pt idx="68">
                  <c:v>404.6</c:v>
                </c:pt>
                <c:pt idx="69">
                  <c:v>395.1</c:v>
                </c:pt>
                <c:pt idx="70">
                  <c:v>397.6</c:v>
                </c:pt>
                <c:pt idx="71">
                  <c:v>386</c:v>
                </c:pt>
                <c:pt idx="72">
                  <c:v>378.9</c:v>
                </c:pt>
                <c:pt idx="73">
                  <c:v>388.2</c:v>
                </c:pt>
                <c:pt idx="74">
                  <c:v>405.4</c:v>
                </c:pt>
                <c:pt idx="75">
                  <c:v>399.7</c:v>
                </c:pt>
                <c:pt idx="76">
                  <c:v>406.3</c:v>
                </c:pt>
                <c:pt idx="77">
                  <c:v>411.3</c:v>
                </c:pt>
                <c:pt idx="78">
                  <c:v>425.4</c:v>
                </c:pt>
                <c:pt idx="79">
                  <c:v>427.7</c:v>
                </c:pt>
                <c:pt idx="80">
                  <c:v>429.6</c:v>
                </c:pt>
                <c:pt idx="81">
                  <c:v>434.9</c:v>
                </c:pt>
                <c:pt idx="82">
                  <c:v>431.2</c:v>
                </c:pt>
                <c:pt idx="83">
                  <c:v>428.3</c:v>
                </c:pt>
                <c:pt idx="84">
                  <c:v>434.5</c:v>
                </c:pt>
              </c:numCache>
            </c:numRef>
          </c:val>
        </c:ser>
        <c:ser>
          <c:idx val="0"/>
          <c:order val="8"/>
          <c:tx>
            <c:strRef>
              <c:f>'podľa vzdelania'!$A$59</c:f>
              <c:strCache>
                <c:ptCount val="1"/>
                <c:pt idx="0">
                  <c:v>Iné</c:v>
                </c:pt>
              </c:strCache>
            </c:strRef>
          </c:tx>
          <c:invertIfNegative val="0"/>
          <c:val>
            <c:numRef>
              <c:f>'podľa vzdelania'!$B$59:$CH$59</c:f>
              <c:numCache>
                <c:formatCode>General</c:formatCode>
                <c:ptCount val="85"/>
                <c:pt idx="0">
                  <c:v>1</c:v>
                </c:pt>
                <c:pt idx="1">
                  <c:v>1.4</c:v>
                </c:pt>
                <c:pt idx="2">
                  <c:v>1.2</c:v>
                </c:pt>
                <c:pt idx="3">
                  <c:v>2.4</c:v>
                </c:pt>
                <c:pt idx="4">
                  <c:v>1.4</c:v>
                </c:pt>
                <c:pt idx="5">
                  <c:v>1.9</c:v>
                </c:pt>
                <c:pt idx="6">
                  <c:v>2.1</c:v>
                </c:pt>
                <c:pt idx="7">
                  <c:v>2.6</c:v>
                </c:pt>
                <c:pt idx="8">
                  <c:v>37.700000000000003</c:v>
                </c:pt>
                <c:pt idx="9">
                  <c:v>36.799999999999997</c:v>
                </c:pt>
                <c:pt idx="10">
                  <c:v>34.5</c:v>
                </c:pt>
                <c:pt idx="11">
                  <c:v>33.1</c:v>
                </c:pt>
                <c:pt idx="12">
                  <c:v>27.900000000000002</c:v>
                </c:pt>
                <c:pt idx="13">
                  <c:v>27.1</c:v>
                </c:pt>
                <c:pt idx="14">
                  <c:v>22</c:v>
                </c:pt>
                <c:pt idx="15">
                  <c:v>18.7</c:v>
                </c:pt>
                <c:pt idx="16">
                  <c:v>18.000000000000004</c:v>
                </c:pt>
                <c:pt idx="17">
                  <c:v>15.999999999999998</c:v>
                </c:pt>
                <c:pt idx="18">
                  <c:v>13.2</c:v>
                </c:pt>
                <c:pt idx="19">
                  <c:v>15.100000000000001</c:v>
                </c:pt>
                <c:pt idx="20">
                  <c:v>14.5</c:v>
                </c:pt>
                <c:pt idx="21">
                  <c:v>14.299999999999999</c:v>
                </c:pt>
                <c:pt idx="22">
                  <c:v>16.400000000000002</c:v>
                </c:pt>
                <c:pt idx="23">
                  <c:v>15.7</c:v>
                </c:pt>
                <c:pt idx="24">
                  <c:v>26.4</c:v>
                </c:pt>
                <c:pt idx="25">
                  <c:v>25.2</c:v>
                </c:pt>
                <c:pt idx="26">
                  <c:v>26.400000000000002</c:v>
                </c:pt>
                <c:pt idx="27">
                  <c:v>26.2</c:v>
                </c:pt>
                <c:pt idx="28">
                  <c:v>24.8</c:v>
                </c:pt>
                <c:pt idx="29">
                  <c:v>22.2</c:v>
                </c:pt>
                <c:pt idx="30">
                  <c:v>22.2</c:v>
                </c:pt>
                <c:pt idx="31">
                  <c:v>20.8</c:v>
                </c:pt>
                <c:pt idx="32">
                  <c:v>21.900000000000002</c:v>
                </c:pt>
                <c:pt idx="33">
                  <c:v>22.599999999999998</c:v>
                </c:pt>
                <c:pt idx="34">
                  <c:v>25.5</c:v>
                </c:pt>
                <c:pt idx="35">
                  <c:v>26.5</c:v>
                </c:pt>
                <c:pt idx="36">
                  <c:v>28.6</c:v>
                </c:pt>
                <c:pt idx="37">
                  <c:v>27.799999999999997</c:v>
                </c:pt>
                <c:pt idx="38">
                  <c:v>25.900000000000002</c:v>
                </c:pt>
                <c:pt idx="39">
                  <c:v>25.299999999999997</c:v>
                </c:pt>
                <c:pt idx="40">
                  <c:v>27.6</c:v>
                </c:pt>
                <c:pt idx="41">
                  <c:v>27.5</c:v>
                </c:pt>
                <c:pt idx="42">
                  <c:v>29.6</c:v>
                </c:pt>
                <c:pt idx="43">
                  <c:v>32.5</c:v>
                </c:pt>
                <c:pt idx="44">
                  <c:v>35.799999999999997</c:v>
                </c:pt>
                <c:pt idx="45">
                  <c:v>36.5</c:v>
                </c:pt>
                <c:pt idx="46">
                  <c:v>39.699999999999996</c:v>
                </c:pt>
                <c:pt idx="47">
                  <c:v>42.9</c:v>
                </c:pt>
                <c:pt idx="48">
                  <c:v>42.900000000000006</c:v>
                </c:pt>
                <c:pt idx="49">
                  <c:v>44.6</c:v>
                </c:pt>
                <c:pt idx="50">
                  <c:v>45.199999999999996</c:v>
                </c:pt>
                <c:pt idx="51">
                  <c:v>42.8</c:v>
                </c:pt>
                <c:pt idx="52">
                  <c:v>41.900000000000006</c:v>
                </c:pt>
                <c:pt idx="53">
                  <c:v>44.499999999999993</c:v>
                </c:pt>
                <c:pt idx="54">
                  <c:v>45.400000000000006</c:v>
                </c:pt>
                <c:pt idx="55">
                  <c:v>44.8</c:v>
                </c:pt>
                <c:pt idx="56">
                  <c:v>44.5</c:v>
                </c:pt>
                <c:pt idx="57">
                  <c:v>48.6</c:v>
                </c:pt>
                <c:pt idx="58">
                  <c:v>55.2</c:v>
                </c:pt>
                <c:pt idx="59">
                  <c:v>54.7</c:v>
                </c:pt>
                <c:pt idx="60">
                  <c:v>60.7</c:v>
                </c:pt>
                <c:pt idx="61">
                  <c:v>64.900000000000006</c:v>
                </c:pt>
                <c:pt idx="62">
                  <c:v>67.400000000000006</c:v>
                </c:pt>
                <c:pt idx="63">
                  <c:v>65.7</c:v>
                </c:pt>
                <c:pt idx="64">
                  <c:v>65.8</c:v>
                </c:pt>
                <c:pt idx="65">
                  <c:v>64.5</c:v>
                </c:pt>
                <c:pt idx="66">
                  <c:v>67.5</c:v>
                </c:pt>
                <c:pt idx="67">
                  <c:v>73.099999999999994</c:v>
                </c:pt>
                <c:pt idx="68">
                  <c:v>84.7</c:v>
                </c:pt>
                <c:pt idx="69">
                  <c:v>92.4</c:v>
                </c:pt>
                <c:pt idx="70">
                  <c:v>102.8</c:v>
                </c:pt>
                <c:pt idx="71">
                  <c:v>109.9</c:v>
                </c:pt>
                <c:pt idx="72">
                  <c:v>116.2</c:v>
                </c:pt>
                <c:pt idx="73">
                  <c:v>107.2</c:v>
                </c:pt>
                <c:pt idx="74">
                  <c:v>105.4</c:v>
                </c:pt>
                <c:pt idx="75">
                  <c:v>96</c:v>
                </c:pt>
                <c:pt idx="76">
                  <c:v>91.8</c:v>
                </c:pt>
                <c:pt idx="77">
                  <c:v>97.8</c:v>
                </c:pt>
                <c:pt idx="78">
                  <c:v>100.3</c:v>
                </c:pt>
                <c:pt idx="79">
                  <c:v>105.5</c:v>
                </c:pt>
                <c:pt idx="80">
                  <c:v>109.99999999999999</c:v>
                </c:pt>
                <c:pt idx="81">
                  <c:v>117.8</c:v>
                </c:pt>
                <c:pt idx="82">
                  <c:v>122.8</c:v>
                </c:pt>
                <c:pt idx="83">
                  <c:v>129.9</c:v>
                </c:pt>
                <c:pt idx="84">
                  <c:v>122.6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44784384"/>
        <c:axId val="144794368"/>
      </c:barChart>
      <c:catAx>
        <c:axId val="144784384"/>
        <c:scaling>
          <c:orientation val="minMax"/>
        </c:scaling>
        <c:delete val="0"/>
        <c:axPos val="b"/>
        <c:majorTickMark val="out"/>
        <c:minorTickMark val="none"/>
        <c:tickLblPos val="nextTo"/>
        <c:crossAx val="144794368"/>
        <c:crosses val="autoZero"/>
        <c:auto val="1"/>
        <c:lblAlgn val="ctr"/>
        <c:lblOffset val="100"/>
        <c:noMultiLvlLbl val="0"/>
      </c:catAx>
      <c:valAx>
        <c:axId val="144794368"/>
        <c:scaling>
          <c:orientation val="minMax"/>
          <c:max val="2500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4478438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5921693672588444"/>
          <c:y val="6.3491820628404139E-2"/>
          <c:w val="0.32755992277824775"/>
          <c:h val="0.9102253294715531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2"/>
          <c:order val="0"/>
          <c:tx>
            <c:strRef>
              <c:f>'Pracujúci podľa NACE'!$A$5</c:f>
              <c:strCache>
                <c:ptCount val="1"/>
                <c:pt idx="0">
                  <c:v>Priemyselná výroba</c:v>
                </c:pt>
              </c:strCache>
            </c:strRef>
          </c:tx>
          <c:marker>
            <c:symbol val="none"/>
          </c:marker>
          <c:cat>
            <c:strRef>
              <c:f>'Pracujúci podľa NACE'!$B$2:$AD$2</c:f>
              <c:strCache>
                <c:ptCount val="29"/>
                <c:pt idx="0">
                  <c:v>2008Q1</c:v>
                </c:pt>
                <c:pt idx="1">
                  <c:v>2008Q2</c:v>
                </c:pt>
                <c:pt idx="2">
                  <c:v>2008Q3</c:v>
                </c:pt>
                <c:pt idx="3">
                  <c:v>2008Q4</c:v>
                </c:pt>
                <c:pt idx="4">
                  <c:v>2009Q1</c:v>
                </c:pt>
                <c:pt idx="5">
                  <c:v>2009Q2</c:v>
                </c:pt>
                <c:pt idx="6">
                  <c:v>2009Q3</c:v>
                </c:pt>
                <c:pt idx="7">
                  <c:v>2009Q4</c:v>
                </c:pt>
                <c:pt idx="8">
                  <c:v>2010Q1</c:v>
                </c:pt>
                <c:pt idx="9">
                  <c:v>2010Q2</c:v>
                </c:pt>
                <c:pt idx="10">
                  <c:v>2010Q3</c:v>
                </c:pt>
                <c:pt idx="11">
                  <c:v>2010Q4</c:v>
                </c:pt>
                <c:pt idx="12">
                  <c:v>2011Q1</c:v>
                </c:pt>
                <c:pt idx="13">
                  <c:v>2011Q2</c:v>
                </c:pt>
                <c:pt idx="14">
                  <c:v>2011Q3</c:v>
                </c:pt>
                <c:pt idx="15">
                  <c:v>2011Q4</c:v>
                </c:pt>
                <c:pt idx="16">
                  <c:v>2012Q1</c:v>
                </c:pt>
                <c:pt idx="17">
                  <c:v>2012Q2</c:v>
                </c:pt>
                <c:pt idx="18">
                  <c:v>2012Q3</c:v>
                </c:pt>
                <c:pt idx="19">
                  <c:v>2012Q4</c:v>
                </c:pt>
                <c:pt idx="20">
                  <c:v>2013Q1</c:v>
                </c:pt>
                <c:pt idx="21">
                  <c:v>2013Q2</c:v>
                </c:pt>
                <c:pt idx="22">
                  <c:v>2013Q3</c:v>
                </c:pt>
                <c:pt idx="23">
                  <c:v>2013Q4</c:v>
                </c:pt>
                <c:pt idx="24">
                  <c:v>2014Q1</c:v>
                </c:pt>
                <c:pt idx="25">
                  <c:v>2014Q2</c:v>
                </c:pt>
                <c:pt idx="26">
                  <c:v>2014Q3</c:v>
                </c:pt>
                <c:pt idx="27">
                  <c:v>2014Q4</c:v>
                </c:pt>
                <c:pt idx="28">
                  <c:v>2015Q1</c:v>
                </c:pt>
              </c:strCache>
            </c:strRef>
          </c:cat>
          <c:val>
            <c:numRef>
              <c:f>'Pracujúci podľa NACE'!$B$5:$AD$5</c:f>
              <c:numCache>
                <c:formatCode>General</c:formatCode>
                <c:ptCount val="29"/>
                <c:pt idx="0">
                  <c:v>638</c:v>
                </c:pt>
                <c:pt idx="1">
                  <c:v>639.9</c:v>
                </c:pt>
                <c:pt idx="2">
                  <c:v>638.79999999999995</c:v>
                </c:pt>
                <c:pt idx="3">
                  <c:v>642.9</c:v>
                </c:pt>
                <c:pt idx="4">
                  <c:v>596.9</c:v>
                </c:pt>
                <c:pt idx="5">
                  <c:v>574.70000000000005</c:v>
                </c:pt>
                <c:pt idx="6">
                  <c:v>547.20000000000005</c:v>
                </c:pt>
                <c:pt idx="7">
                  <c:v>542.1</c:v>
                </c:pt>
                <c:pt idx="8">
                  <c:v>518.5</c:v>
                </c:pt>
                <c:pt idx="9">
                  <c:v>529.5</c:v>
                </c:pt>
                <c:pt idx="10">
                  <c:v>528.5</c:v>
                </c:pt>
                <c:pt idx="11">
                  <c:v>543.29999999999995</c:v>
                </c:pt>
                <c:pt idx="12">
                  <c:v>542.4</c:v>
                </c:pt>
                <c:pt idx="13">
                  <c:v>557.1</c:v>
                </c:pt>
                <c:pt idx="14">
                  <c:v>565.79999999999995</c:v>
                </c:pt>
                <c:pt idx="15">
                  <c:v>577.6</c:v>
                </c:pt>
                <c:pt idx="16">
                  <c:v>580.4</c:v>
                </c:pt>
                <c:pt idx="17">
                  <c:v>583.1</c:v>
                </c:pt>
                <c:pt idx="18">
                  <c:v>568.4</c:v>
                </c:pt>
                <c:pt idx="19">
                  <c:v>549.4</c:v>
                </c:pt>
                <c:pt idx="20">
                  <c:v>550.9</c:v>
                </c:pt>
                <c:pt idx="21">
                  <c:v>538.4</c:v>
                </c:pt>
                <c:pt idx="22">
                  <c:v>535.1</c:v>
                </c:pt>
                <c:pt idx="23">
                  <c:v>533.5</c:v>
                </c:pt>
                <c:pt idx="24">
                  <c:v>535.4</c:v>
                </c:pt>
                <c:pt idx="25">
                  <c:v>537.4</c:v>
                </c:pt>
                <c:pt idx="26">
                  <c:v>551.6</c:v>
                </c:pt>
                <c:pt idx="27">
                  <c:v>577.29999999999995</c:v>
                </c:pt>
                <c:pt idx="28">
                  <c:v>581.29999999999995</c:v>
                </c:pt>
              </c:numCache>
            </c:numRef>
          </c:val>
          <c:smooth val="0"/>
        </c:ser>
        <c:ser>
          <c:idx val="3"/>
          <c:order val="1"/>
          <c:tx>
            <c:strRef>
              <c:f>'Pracujúci podľa NACE'!$A$6</c:f>
              <c:strCache>
                <c:ptCount val="1"/>
                <c:pt idx="0">
                  <c:v>Veľkoobchod a maloobchod; oprava motorových vozidiel a motocyklov</c:v>
                </c:pt>
              </c:strCache>
            </c:strRef>
          </c:tx>
          <c:marker>
            <c:symbol val="none"/>
          </c:marker>
          <c:cat>
            <c:strRef>
              <c:f>'Pracujúci podľa NACE'!$B$2:$AD$2</c:f>
              <c:strCache>
                <c:ptCount val="29"/>
                <c:pt idx="0">
                  <c:v>2008Q1</c:v>
                </c:pt>
                <c:pt idx="1">
                  <c:v>2008Q2</c:v>
                </c:pt>
                <c:pt idx="2">
                  <c:v>2008Q3</c:v>
                </c:pt>
                <c:pt idx="3">
                  <c:v>2008Q4</c:v>
                </c:pt>
                <c:pt idx="4">
                  <c:v>2009Q1</c:v>
                </c:pt>
                <c:pt idx="5">
                  <c:v>2009Q2</c:v>
                </c:pt>
                <c:pt idx="6">
                  <c:v>2009Q3</c:v>
                </c:pt>
                <c:pt idx="7">
                  <c:v>2009Q4</c:v>
                </c:pt>
                <c:pt idx="8">
                  <c:v>2010Q1</c:v>
                </c:pt>
                <c:pt idx="9">
                  <c:v>2010Q2</c:v>
                </c:pt>
                <c:pt idx="10">
                  <c:v>2010Q3</c:v>
                </c:pt>
                <c:pt idx="11">
                  <c:v>2010Q4</c:v>
                </c:pt>
                <c:pt idx="12">
                  <c:v>2011Q1</c:v>
                </c:pt>
                <c:pt idx="13">
                  <c:v>2011Q2</c:v>
                </c:pt>
                <c:pt idx="14">
                  <c:v>2011Q3</c:v>
                </c:pt>
                <c:pt idx="15">
                  <c:v>2011Q4</c:v>
                </c:pt>
                <c:pt idx="16">
                  <c:v>2012Q1</c:v>
                </c:pt>
                <c:pt idx="17">
                  <c:v>2012Q2</c:v>
                </c:pt>
                <c:pt idx="18">
                  <c:v>2012Q3</c:v>
                </c:pt>
                <c:pt idx="19">
                  <c:v>2012Q4</c:v>
                </c:pt>
                <c:pt idx="20">
                  <c:v>2013Q1</c:v>
                </c:pt>
                <c:pt idx="21">
                  <c:v>2013Q2</c:v>
                </c:pt>
                <c:pt idx="22">
                  <c:v>2013Q3</c:v>
                </c:pt>
                <c:pt idx="23">
                  <c:v>2013Q4</c:v>
                </c:pt>
                <c:pt idx="24">
                  <c:v>2014Q1</c:v>
                </c:pt>
                <c:pt idx="25">
                  <c:v>2014Q2</c:v>
                </c:pt>
                <c:pt idx="26">
                  <c:v>2014Q3</c:v>
                </c:pt>
                <c:pt idx="27">
                  <c:v>2014Q4</c:v>
                </c:pt>
                <c:pt idx="28">
                  <c:v>2015Q1</c:v>
                </c:pt>
              </c:strCache>
            </c:strRef>
          </c:cat>
          <c:val>
            <c:numRef>
              <c:f>'Pracujúci podľa NACE'!$B$6:$AD$6</c:f>
              <c:numCache>
                <c:formatCode>General</c:formatCode>
                <c:ptCount val="29"/>
                <c:pt idx="0">
                  <c:v>287.3</c:v>
                </c:pt>
                <c:pt idx="1">
                  <c:v>290.10000000000002</c:v>
                </c:pt>
                <c:pt idx="2">
                  <c:v>291.2</c:v>
                </c:pt>
                <c:pt idx="3">
                  <c:v>300.5</c:v>
                </c:pt>
                <c:pt idx="4">
                  <c:v>306</c:v>
                </c:pt>
                <c:pt idx="5">
                  <c:v>309.39999999999998</c:v>
                </c:pt>
                <c:pt idx="6">
                  <c:v>316.89999999999998</c:v>
                </c:pt>
                <c:pt idx="7">
                  <c:v>318.3</c:v>
                </c:pt>
                <c:pt idx="8">
                  <c:v>317.60000000000002</c:v>
                </c:pt>
                <c:pt idx="9">
                  <c:v>305</c:v>
                </c:pt>
                <c:pt idx="10">
                  <c:v>302.3</c:v>
                </c:pt>
                <c:pt idx="11">
                  <c:v>300.10000000000002</c:v>
                </c:pt>
                <c:pt idx="12">
                  <c:v>293.89999999999998</c:v>
                </c:pt>
                <c:pt idx="13">
                  <c:v>299.10000000000002</c:v>
                </c:pt>
                <c:pt idx="14">
                  <c:v>303.10000000000002</c:v>
                </c:pt>
                <c:pt idx="15">
                  <c:v>296.8</c:v>
                </c:pt>
                <c:pt idx="16">
                  <c:v>290.2</c:v>
                </c:pt>
                <c:pt idx="17">
                  <c:v>289.10000000000002</c:v>
                </c:pt>
                <c:pt idx="18">
                  <c:v>285.2</c:v>
                </c:pt>
                <c:pt idx="19">
                  <c:v>294.89999999999998</c:v>
                </c:pt>
                <c:pt idx="20">
                  <c:v>295.7</c:v>
                </c:pt>
                <c:pt idx="21">
                  <c:v>300.2</c:v>
                </c:pt>
                <c:pt idx="22">
                  <c:v>301.8</c:v>
                </c:pt>
                <c:pt idx="23">
                  <c:v>299</c:v>
                </c:pt>
                <c:pt idx="24">
                  <c:v>289.10000000000002</c:v>
                </c:pt>
                <c:pt idx="25">
                  <c:v>284.60000000000002</c:v>
                </c:pt>
                <c:pt idx="26">
                  <c:v>282.8</c:v>
                </c:pt>
                <c:pt idx="27">
                  <c:v>280.3</c:v>
                </c:pt>
                <c:pt idx="28">
                  <c:v>285.39999999999998</c:v>
                </c:pt>
              </c:numCache>
            </c:numRef>
          </c:val>
          <c:smooth val="0"/>
        </c:ser>
        <c:ser>
          <c:idx val="4"/>
          <c:order val="2"/>
          <c:tx>
            <c:strRef>
              <c:f>'Pracujúci podľa NACE'!$A$7</c:f>
              <c:strCache>
                <c:ptCount val="1"/>
                <c:pt idx="0">
                  <c:v>Verejná správa a obrana; povinné sociálne zabezpečenie</c:v>
                </c:pt>
              </c:strCache>
            </c:strRef>
          </c:tx>
          <c:marker>
            <c:symbol val="none"/>
          </c:marker>
          <c:cat>
            <c:strRef>
              <c:f>'Pracujúci podľa NACE'!$B$2:$AD$2</c:f>
              <c:strCache>
                <c:ptCount val="29"/>
                <c:pt idx="0">
                  <c:v>2008Q1</c:v>
                </c:pt>
                <c:pt idx="1">
                  <c:v>2008Q2</c:v>
                </c:pt>
                <c:pt idx="2">
                  <c:v>2008Q3</c:v>
                </c:pt>
                <c:pt idx="3">
                  <c:v>2008Q4</c:v>
                </c:pt>
                <c:pt idx="4">
                  <c:v>2009Q1</c:v>
                </c:pt>
                <c:pt idx="5">
                  <c:v>2009Q2</c:v>
                </c:pt>
                <c:pt idx="6">
                  <c:v>2009Q3</c:v>
                </c:pt>
                <c:pt idx="7">
                  <c:v>2009Q4</c:v>
                </c:pt>
                <c:pt idx="8">
                  <c:v>2010Q1</c:v>
                </c:pt>
                <c:pt idx="9">
                  <c:v>2010Q2</c:v>
                </c:pt>
                <c:pt idx="10">
                  <c:v>2010Q3</c:v>
                </c:pt>
                <c:pt idx="11">
                  <c:v>2010Q4</c:v>
                </c:pt>
                <c:pt idx="12">
                  <c:v>2011Q1</c:v>
                </c:pt>
                <c:pt idx="13">
                  <c:v>2011Q2</c:v>
                </c:pt>
                <c:pt idx="14">
                  <c:v>2011Q3</c:v>
                </c:pt>
                <c:pt idx="15">
                  <c:v>2011Q4</c:v>
                </c:pt>
                <c:pt idx="16">
                  <c:v>2012Q1</c:v>
                </c:pt>
                <c:pt idx="17">
                  <c:v>2012Q2</c:v>
                </c:pt>
                <c:pt idx="18">
                  <c:v>2012Q3</c:v>
                </c:pt>
                <c:pt idx="19">
                  <c:v>2012Q4</c:v>
                </c:pt>
                <c:pt idx="20">
                  <c:v>2013Q1</c:v>
                </c:pt>
                <c:pt idx="21">
                  <c:v>2013Q2</c:v>
                </c:pt>
                <c:pt idx="22">
                  <c:v>2013Q3</c:v>
                </c:pt>
                <c:pt idx="23">
                  <c:v>2013Q4</c:v>
                </c:pt>
                <c:pt idx="24">
                  <c:v>2014Q1</c:v>
                </c:pt>
                <c:pt idx="25">
                  <c:v>2014Q2</c:v>
                </c:pt>
                <c:pt idx="26">
                  <c:v>2014Q3</c:v>
                </c:pt>
                <c:pt idx="27">
                  <c:v>2014Q4</c:v>
                </c:pt>
                <c:pt idx="28">
                  <c:v>2015Q1</c:v>
                </c:pt>
              </c:strCache>
            </c:strRef>
          </c:cat>
          <c:val>
            <c:numRef>
              <c:f>'Pracujúci podľa NACE'!$B$7:$AD$7</c:f>
              <c:numCache>
                <c:formatCode>General</c:formatCode>
                <c:ptCount val="29"/>
                <c:pt idx="0">
                  <c:v>160.4</c:v>
                </c:pt>
                <c:pt idx="1">
                  <c:v>161.4</c:v>
                </c:pt>
                <c:pt idx="2">
                  <c:v>176.8</c:v>
                </c:pt>
                <c:pt idx="3">
                  <c:v>169.2</c:v>
                </c:pt>
                <c:pt idx="4">
                  <c:v>172.5</c:v>
                </c:pt>
                <c:pt idx="5">
                  <c:v>183.2</c:v>
                </c:pt>
                <c:pt idx="6">
                  <c:v>179.9</c:v>
                </c:pt>
                <c:pt idx="7">
                  <c:v>178.1</c:v>
                </c:pt>
                <c:pt idx="8">
                  <c:v>183.7</c:v>
                </c:pt>
                <c:pt idx="9">
                  <c:v>188</c:v>
                </c:pt>
                <c:pt idx="10">
                  <c:v>188.4</c:v>
                </c:pt>
                <c:pt idx="11">
                  <c:v>195.5</c:v>
                </c:pt>
                <c:pt idx="12">
                  <c:v>190.2</c:v>
                </c:pt>
                <c:pt idx="13">
                  <c:v>194.2</c:v>
                </c:pt>
                <c:pt idx="14">
                  <c:v>191.8</c:v>
                </c:pt>
                <c:pt idx="15">
                  <c:v>184.6</c:v>
                </c:pt>
                <c:pt idx="16">
                  <c:v>182.9</c:v>
                </c:pt>
                <c:pt idx="17">
                  <c:v>184.9</c:v>
                </c:pt>
                <c:pt idx="18">
                  <c:v>183.6</c:v>
                </c:pt>
                <c:pt idx="19">
                  <c:v>187.8</c:v>
                </c:pt>
                <c:pt idx="20">
                  <c:v>193.4</c:v>
                </c:pt>
                <c:pt idx="21">
                  <c:v>207.4</c:v>
                </c:pt>
                <c:pt idx="22">
                  <c:v>199.1</c:v>
                </c:pt>
                <c:pt idx="23">
                  <c:v>201.6</c:v>
                </c:pt>
                <c:pt idx="24">
                  <c:v>203.8</c:v>
                </c:pt>
                <c:pt idx="25">
                  <c:v>209.8</c:v>
                </c:pt>
                <c:pt idx="26">
                  <c:v>214.5</c:v>
                </c:pt>
                <c:pt idx="27">
                  <c:v>215.8</c:v>
                </c:pt>
                <c:pt idx="28">
                  <c:v>217.1</c:v>
                </c:pt>
              </c:numCache>
            </c:numRef>
          </c:val>
          <c:smooth val="0"/>
        </c:ser>
        <c:ser>
          <c:idx val="5"/>
          <c:order val="3"/>
          <c:tx>
            <c:strRef>
              <c:f>'Pracujúci podľa NACE'!$A$8</c:f>
              <c:strCache>
                <c:ptCount val="1"/>
                <c:pt idx="0">
                  <c:v>Stavebníctvo</c:v>
                </c:pt>
              </c:strCache>
            </c:strRef>
          </c:tx>
          <c:marker>
            <c:symbol val="none"/>
          </c:marker>
          <c:cat>
            <c:strRef>
              <c:f>'Pracujúci podľa NACE'!$B$2:$AD$2</c:f>
              <c:strCache>
                <c:ptCount val="29"/>
                <c:pt idx="0">
                  <c:v>2008Q1</c:v>
                </c:pt>
                <c:pt idx="1">
                  <c:v>2008Q2</c:v>
                </c:pt>
                <c:pt idx="2">
                  <c:v>2008Q3</c:v>
                </c:pt>
                <c:pt idx="3">
                  <c:v>2008Q4</c:v>
                </c:pt>
                <c:pt idx="4">
                  <c:v>2009Q1</c:v>
                </c:pt>
                <c:pt idx="5">
                  <c:v>2009Q2</c:v>
                </c:pt>
                <c:pt idx="6">
                  <c:v>2009Q3</c:v>
                </c:pt>
                <c:pt idx="7">
                  <c:v>2009Q4</c:v>
                </c:pt>
                <c:pt idx="8">
                  <c:v>2010Q1</c:v>
                </c:pt>
                <c:pt idx="9">
                  <c:v>2010Q2</c:v>
                </c:pt>
                <c:pt idx="10">
                  <c:v>2010Q3</c:v>
                </c:pt>
                <c:pt idx="11">
                  <c:v>2010Q4</c:v>
                </c:pt>
                <c:pt idx="12">
                  <c:v>2011Q1</c:v>
                </c:pt>
                <c:pt idx="13">
                  <c:v>2011Q2</c:v>
                </c:pt>
                <c:pt idx="14">
                  <c:v>2011Q3</c:v>
                </c:pt>
                <c:pt idx="15">
                  <c:v>2011Q4</c:v>
                </c:pt>
                <c:pt idx="16">
                  <c:v>2012Q1</c:v>
                </c:pt>
                <c:pt idx="17">
                  <c:v>2012Q2</c:v>
                </c:pt>
                <c:pt idx="18">
                  <c:v>2012Q3</c:v>
                </c:pt>
                <c:pt idx="19">
                  <c:v>2012Q4</c:v>
                </c:pt>
                <c:pt idx="20">
                  <c:v>2013Q1</c:v>
                </c:pt>
                <c:pt idx="21">
                  <c:v>2013Q2</c:v>
                </c:pt>
                <c:pt idx="22">
                  <c:v>2013Q3</c:v>
                </c:pt>
                <c:pt idx="23">
                  <c:v>2013Q4</c:v>
                </c:pt>
                <c:pt idx="24">
                  <c:v>2014Q1</c:v>
                </c:pt>
                <c:pt idx="25">
                  <c:v>2014Q2</c:v>
                </c:pt>
                <c:pt idx="26">
                  <c:v>2014Q3</c:v>
                </c:pt>
                <c:pt idx="27">
                  <c:v>2014Q4</c:v>
                </c:pt>
                <c:pt idx="28">
                  <c:v>2015Q1</c:v>
                </c:pt>
              </c:strCache>
            </c:strRef>
          </c:cat>
          <c:val>
            <c:numRef>
              <c:f>'Pracujúci podľa NACE'!$B$8:$AD$8</c:f>
              <c:numCache>
                <c:formatCode>General</c:formatCode>
                <c:ptCount val="29"/>
                <c:pt idx="0">
                  <c:v>247.7</c:v>
                </c:pt>
                <c:pt idx="1">
                  <c:v>252.6</c:v>
                </c:pt>
                <c:pt idx="2">
                  <c:v>262.3</c:v>
                </c:pt>
                <c:pt idx="3">
                  <c:v>267.7</c:v>
                </c:pt>
                <c:pt idx="4">
                  <c:v>256.60000000000002</c:v>
                </c:pt>
                <c:pt idx="5">
                  <c:v>254.7</c:v>
                </c:pt>
                <c:pt idx="6">
                  <c:v>260.39999999999998</c:v>
                </c:pt>
                <c:pt idx="7">
                  <c:v>256.89999999999998</c:v>
                </c:pt>
                <c:pt idx="8">
                  <c:v>252.8</c:v>
                </c:pt>
                <c:pt idx="9">
                  <c:v>254</c:v>
                </c:pt>
                <c:pt idx="10">
                  <c:v>267.5</c:v>
                </c:pt>
                <c:pt idx="11">
                  <c:v>258.7</c:v>
                </c:pt>
                <c:pt idx="12">
                  <c:v>248.4</c:v>
                </c:pt>
                <c:pt idx="13">
                  <c:v>243.1</c:v>
                </c:pt>
                <c:pt idx="14">
                  <c:v>241.4</c:v>
                </c:pt>
                <c:pt idx="15">
                  <c:v>231</c:v>
                </c:pt>
                <c:pt idx="16">
                  <c:v>233.2</c:v>
                </c:pt>
                <c:pt idx="17">
                  <c:v>235.5</c:v>
                </c:pt>
                <c:pt idx="18">
                  <c:v>250.7</c:v>
                </c:pt>
                <c:pt idx="19">
                  <c:v>243.4</c:v>
                </c:pt>
                <c:pt idx="20">
                  <c:v>237.4</c:v>
                </c:pt>
                <c:pt idx="21">
                  <c:v>232.8</c:v>
                </c:pt>
                <c:pt idx="22">
                  <c:v>236.5</c:v>
                </c:pt>
                <c:pt idx="23">
                  <c:v>224.8</c:v>
                </c:pt>
                <c:pt idx="24">
                  <c:v>223.8</c:v>
                </c:pt>
                <c:pt idx="25">
                  <c:v>233.3</c:v>
                </c:pt>
                <c:pt idx="26">
                  <c:v>221.5</c:v>
                </c:pt>
                <c:pt idx="27">
                  <c:v>214.4</c:v>
                </c:pt>
                <c:pt idx="28">
                  <c:v>210.4</c:v>
                </c:pt>
              </c:numCache>
            </c:numRef>
          </c:val>
          <c:smooth val="0"/>
        </c:ser>
        <c:ser>
          <c:idx val="6"/>
          <c:order val="4"/>
          <c:tx>
            <c:strRef>
              <c:f>'Pracujúci podľa NACE'!$A$9</c:f>
              <c:strCache>
                <c:ptCount val="1"/>
                <c:pt idx="0">
                  <c:v>Zdravotníctvo a sociálna pomoc</c:v>
                </c:pt>
              </c:strCache>
            </c:strRef>
          </c:tx>
          <c:marker>
            <c:symbol val="none"/>
          </c:marker>
          <c:cat>
            <c:strRef>
              <c:f>'Pracujúci podľa NACE'!$B$2:$AD$2</c:f>
              <c:strCache>
                <c:ptCount val="29"/>
                <c:pt idx="0">
                  <c:v>2008Q1</c:v>
                </c:pt>
                <c:pt idx="1">
                  <c:v>2008Q2</c:v>
                </c:pt>
                <c:pt idx="2">
                  <c:v>2008Q3</c:v>
                </c:pt>
                <c:pt idx="3">
                  <c:v>2008Q4</c:v>
                </c:pt>
                <c:pt idx="4">
                  <c:v>2009Q1</c:v>
                </c:pt>
                <c:pt idx="5">
                  <c:v>2009Q2</c:v>
                </c:pt>
                <c:pt idx="6">
                  <c:v>2009Q3</c:v>
                </c:pt>
                <c:pt idx="7">
                  <c:v>2009Q4</c:v>
                </c:pt>
                <c:pt idx="8">
                  <c:v>2010Q1</c:v>
                </c:pt>
                <c:pt idx="9">
                  <c:v>2010Q2</c:v>
                </c:pt>
                <c:pt idx="10">
                  <c:v>2010Q3</c:v>
                </c:pt>
                <c:pt idx="11">
                  <c:v>2010Q4</c:v>
                </c:pt>
                <c:pt idx="12">
                  <c:v>2011Q1</c:v>
                </c:pt>
                <c:pt idx="13">
                  <c:v>2011Q2</c:v>
                </c:pt>
                <c:pt idx="14">
                  <c:v>2011Q3</c:v>
                </c:pt>
                <c:pt idx="15">
                  <c:v>2011Q4</c:v>
                </c:pt>
                <c:pt idx="16">
                  <c:v>2012Q1</c:v>
                </c:pt>
                <c:pt idx="17">
                  <c:v>2012Q2</c:v>
                </c:pt>
                <c:pt idx="18">
                  <c:v>2012Q3</c:v>
                </c:pt>
                <c:pt idx="19">
                  <c:v>2012Q4</c:v>
                </c:pt>
                <c:pt idx="20">
                  <c:v>2013Q1</c:v>
                </c:pt>
                <c:pt idx="21">
                  <c:v>2013Q2</c:v>
                </c:pt>
                <c:pt idx="22">
                  <c:v>2013Q3</c:v>
                </c:pt>
                <c:pt idx="23">
                  <c:v>2013Q4</c:v>
                </c:pt>
                <c:pt idx="24">
                  <c:v>2014Q1</c:v>
                </c:pt>
                <c:pt idx="25">
                  <c:v>2014Q2</c:v>
                </c:pt>
                <c:pt idx="26">
                  <c:v>2014Q3</c:v>
                </c:pt>
                <c:pt idx="27">
                  <c:v>2014Q4</c:v>
                </c:pt>
                <c:pt idx="28">
                  <c:v>2015Q1</c:v>
                </c:pt>
              </c:strCache>
            </c:strRef>
          </c:cat>
          <c:val>
            <c:numRef>
              <c:f>'Pracujúci podľa NACE'!$B$9:$AD$9</c:f>
              <c:numCache>
                <c:formatCode>General</c:formatCode>
                <c:ptCount val="29"/>
                <c:pt idx="0">
                  <c:v>144.80000000000001</c:v>
                </c:pt>
                <c:pt idx="1">
                  <c:v>151.6</c:v>
                </c:pt>
                <c:pt idx="2">
                  <c:v>155.80000000000001</c:v>
                </c:pt>
                <c:pt idx="3">
                  <c:v>152.5</c:v>
                </c:pt>
                <c:pt idx="4">
                  <c:v>148.5</c:v>
                </c:pt>
                <c:pt idx="5">
                  <c:v>148.4</c:v>
                </c:pt>
                <c:pt idx="6">
                  <c:v>151.1</c:v>
                </c:pt>
                <c:pt idx="7">
                  <c:v>151.1</c:v>
                </c:pt>
                <c:pt idx="8">
                  <c:v>150.5</c:v>
                </c:pt>
                <c:pt idx="9">
                  <c:v>157.1</c:v>
                </c:pt>
                <c:pt idx="10">
                  <c:v>160.30000000000001</c:v>
                </c:pt>
                <c:pt idx="11">
                  <c:v>160.5</c:v>
                </c:pt>
                <c:pt idx="12">
                  <c:v>155</c:v>
                </c:pt>
                <c:pt idx="13">
                  <c:v>151.69999999999999</c:v>
                </c:pt>
                <c:pt idx="14">
                  <c:v>160.9</c:v>
                </c:pt>
                <c:pt idx="15">
                  <c:v>162.30000000000001</c:v>
                </c:pt>
                <c:pt idx="16">
                  <c:v>162.1</c:v>
                </c:pt>
                <c:pt idx="17">
                  <c:v>163.1</c:v>
                </c:pt>
                <c:pt idx="18">
                  <c:v>164.7</c:v>
                </c:pt>
                <c:pt idx="19">
                  <c:v>155.19999999999999</c:v>
                </c:pt>
                <c:pt idx="20">
                  <c:v>159.5</c:v>
                </c:pt>
                <c:pt idx="21">
                  <c:v>158.1</c:v>
                </c:pt>
                <c:pt idx="22">
                  <c:v>166.6</c:v>
                </c:pt>
                <c:pt idx="23">
                  <c:v>172.1</c:v>
                </c:pt>
                <c:pt idx="24">
                  <c:v>171.6</c:v>
                </c:pt>
                <c:pt idx="25">
                  <c:v>172.9</c:v>
                </c:pt>
                <c:pt idx="26">
                  <c:v>178.7</c:v>
                </c:pt>
                <c:pt idx="27">
                  <c:v>179</c:v>
                </c:pt>
                <c:pt idx="28">
                  <c:v>173.4</c:v>
                </c:pt>
              </c:numCache>
            </c:numRef>
          </c:val>
          <c:smooth val="0"/>
        </c:ser>
        <c:ser>
          <c:idx val="7"/>
          <c:order val="5"/>
          <c:tx>
            <c:strRef>
              <c:f>'Pracujúci podľa NACE'!$A$10</c:f>
              <c:strCache>
                <c:ptCount val="1"/>
                <c:pt idx="0">
                  <c:v>Vzdelávanie</c:v>
                </c:pt>
              </c:strCache>
            </c:strRef>
          </c:tx>
          <c:marker>
            <c:symbol val="none"/>
          </c:marker>
          <c:cat>
            <c:strRef>
              <c:f>'Pracujúci podľa NACE'!$B$2:$AD$2</c:f>
              <c:strCache>
                <c:ptCount val="29"/>
                <c:pt idx="0">
                  <c:v>2008Q1</c:v>
                </c:pt>
                <c:pt idx="1">
                  <c:v>2008Q2</c:v>
                </c:pt>
                <c:pt idx="2">
                  <c:v>2008Q3</c:v>
                </c:pt>
                <c:pt idx="3">
                  <c:v>2008Q4</c:v>
                </c:pt>
                <c:pt idx="4">
                  <c:v>2009Q1</c:v>
                </c:pt>
                <c:pt idx="5">
                  <c:v>2009Q2</c:v>
                </c:pt>
                <c:pt idx="6">
                  <c:v>2009Q3</c:v>
                </c:pt>
                <c:pt idx="7">
                  <c:v>2009Q4</c:v>
                </c:pt>
                <c:pt idx="8">
                  <c:v>2010Q1</c:v>
                </c:pt>
                <c:pt idx="9">
                  <c:v>2010Q2</c:v>
                </c:pt>
                <c:pt idx="10">
                  <c:v>2010Q3</c:v>
                </c:pt>
                <c:pt idx="11">
                  <c:v>2010Q4</c:v>
                </c:pt>
                <c:pt idx="12">
                  <c:v>2011Q1</c:v>
                </c:pt>
                <c:pt idx="13">
                  <c:v>2011Q2</c:v>
                </c:pt>
                <c:pt idx="14">
                  <c:v>2011Q3</c:v>
                </c:pt>
                <c:pt idx="15">
                  <c:v>2011Q4</c:v>
                </c:pt>
                <c:pt idx="16">
                  <c:v>2012Q1</c:v>
                </c:pt>
                <c:pt idx="17">
                  <c:v>2012Q2</c:v>
                </c:pt>
                <c:pt idx="18">
                  <c:v>2012Q3</c:v>
                </c:pt>
                <c:pt idx="19">
                  <c:v>2012Q4</c:v>
                </c:pt>
                <c:pt idx="20">
                  <c:v>2013Q1</c:v>
                </c:pt>
                <c:pt idx="21">
                  <c:v>2013Q2</c:v>
                </c:pt>
                <c:pt idx="22">
                  <c:v>2013Q3</c:v>
                </c:pt>
                <c:pt idx="23">
                  <c:v>2013Q4</c:v>
                </c:pt>
                <c:pt idx="24">
                  <c:v>2014Q1</c:v>
                </c:pt>
                <c:pt idx="25">
                  <c:v>2014Q2</c:v>
                </c:pt>
                <c:pt idx="26">
                  <c:v>2014Q3</c:v>
                </c:pt>
                <c:pt idx="27">
                  <c:v>2014Q4</c:v>
                </c:pt>
                <c:pt idx="28">
                  <c:v>2015Q1</c:v>
                </c:pt>
              </c:strCache>
            </c:strRef>
          </c:cat>
          <c:val>
            <c:numRef>
              <c:f>'Pracujúci podľa NACE'!$B$10:$AD$10</c:f>
              <c:numCache>
                <c:formatCode>General</c:formatCode>
                <c:ptCount val="29"/>
                <c:pt idx="0">
                  <c:v>172.2</c:v>
                </c:pt>
                <c:pt idx="1">
                  <c:v>162.19999999999999</c:v>
                </c:pt>
                <c:pt idx="2">
                  <c:v>163.5</c:v>
                </c:pt>
                <c:pt idx="3">
                  <c:v>157.9</c:v>
                </c:pt>
                <c:pt idx="4">
                  <c:v>160.5</c:v>
                </c:pt>
                <c:pt idx="5">
                  <c:v>160.30000000000001</c:v>
                </c:pt>
                <c:pt idx="6">
                  <c:v>164.1</c:v>
                </c:pt>
                <c:pt idx="7">
                  <c:v>163</c:v>
                </c:pt>
                <c:pt idx="8">
                  <c:v>165</c:v>
                </c:pt>
                <c:pt idx="9">
                  <c:v>164.7</c:v>
                </c:pt>
                <c:pt idx="10">
                  <c:v>164.1</c:v>
                </c:pt>
                <c:pt idx="11">
                  <c:v>166.2</c:v>
                </c:pt>
                <c:pt idx="12">
                  <c:v>164.7</c:v>
                </c:pt>
                <c:pt idx="13">
                  <c:v>166.2</c:v>
                </c:pt>
                <c:pt idx="14">
                  <c:v>159.5</c:v>
                </c:pt>
                <c:pt idx="15">
                  <c:v>156.5</c:v>
                </c:pt>
                <c:pt idx="16">
                  <c:v>157.1</c:v>
                </c:pt>
                <c:pt idx="17">
                  <c:v>160.6</c:v>
                </c:pt>
                <c:pt idx="18">
                  <c:v>156.19999999999999</c:v>
                </c:pt>
                <c:pt idx="19">
                  <c:v>155.69999999999999</c:v>
                </c:pt>
                <c:pt idx="20">
                  <c:v>159.5</c:v>
                </c:pt>
                <c:pt idx="21">
                  <c:v>165.6</c:v>
                </c:pt>
                <c:pt idx="22">
                  <c:v>165.8</c:v>
                </c:pt>
                <c:pt idx="23">
                  <c:v>163.5</c:v>
                </c:pt>
                <c:pt idx="24">
                  <c:v>165.4</c:v>
                </c:pt>
                <c:pt idx="25">
                  <c:v>168.1</c:v>
                </c:pt>
                <c:pt idx="26">
                  <c:v>163.80000000000001</c:v>
                </c:pt>
                <c:pt idx="27">
                  <c:v>170.1</c:v>
                </c:pt>
                <c:pt idx="28">
                  <c:v>172.1</c:v>
                </c:pt>
              </c:numCache>
            </c:numRef>
          </c:val>
          <c:smooth val="0"/>
        </c:ser>
        <c:ser>
          <c:idx val="8"/>
          <c:order val="6"/>
          <c:tx>
            <c:strRef>
              <c:f>'Pracujúci podľa NACE'!$A$11</c:f>
              <c:strCache>
                <c:ptCount val="1"/>
                <c:pt idx="0">
                  <c:v>Doprava a skladovanie</c:v>
                </c:pt>
              </c:strCache>
            </c:strRef>
          </c:tx>
          <c:marker>
            <c:symbol val="none"/>
          </c:marker>
          <c:cat>
            <c:strRef>
              <c:f>'Pracujúci podľa NACE'!$B$2:$AD$2</c:f>
              <c:strCache>
                <c:ptCount val="29"/>
                <c:pt idx="0">
                  <c:v>2008Q1</c:v>
                </c:pt>
                <c:pt idx="1">
                  <c:v>2008Q2</c:v>
                </c:pt>
                <c:pt idx="2">
                  <c:v>2008Q3</c:v>
                </c:pt>
                <c:pt idx="3">
                  <c:v>2008Q4</c:v>
                </c:pt>
                <c:pt idx="4">
                  <c:v>2009Q1</c:v>
                </c:pt>
                <c:pt idx="5">
                  <c:v>2009Q2</c:v>
                </c:pt>
                <c:pt idx="6">
                  <c:v>2009Q3</c:v>
                </c:pt>
                <c:pt idx="7">
                  <c:v>2009Q4</c:v>
                </c:pt>
                <c:pt idx="8">
                  <c:v>2010Q1</c:v>
                </c:pt>
                <c:pt idx="9">
                  <c:v>2010Q2</c:v>
                </c:pt>
                <c:pt idx="10">
                  <c:v>2010Q3</c:v>
                </c:pt>
                <c:pt idx="11">
                  <c:v>2010Q4</c:v>
                </c:pt>
                <c:pt idx="12">
                  <c:v>2011Q1</c:v>
                </c:pt>
                <c:pt idx="13">
                  <c:v>2011Q2</c:v>
                </c:pt>
                <c:pt idx="14">
                  <c:v>2011Q3</c:v>
                </c:pt>
                <c:pt idx="15">
                  <c:v>2011Q4</c:v>
                </c:pt>
                <c:pt idx="16">
                  <c:v>2012Q1</c:v>
                </c:pt>
                <c:pt idx="17">
                  <c:v>2012Q2</c:v>
                </c:pt>
                <c:pt idx="18">
                  <c:v>2012Q3</c:v>
                </c:pt>
                <c:pt idx="19">
                  <c:v>2012Q4</c:v>
                </c:pt>
                <c:pt idx="20">
                  <c:v>2013Q1</c:v>
                </c:pt>
                <c:pt idx="21">
                  <c:v>2013Q2</c:v>
                </c:pt>
                <c:pt idx="22">
                  <c:v>2013Q3</c:v>
                </c:pt>
                <c:pt idx="23">
                  <c:v>2013Q4</c:v>
                </c:pt>
                <c:pt idx="24">
                  <c:v>2014Q1</c:v>
                </c:pt>
                <c:pt idx="25">
                  <c:v>2014Q2</c:v>
                </c:pt>
                <c:pt idx="26">
                  <c:v>2014Q3</c:v>
                </c:pt>
                <c:pt idx="27">
                  <c:v>2014Q4</c:v>
                </c:pt>
                <c:pt idx="28">
                  <c:v>2015Q1</c:v>
                </c:pt>
              </c:strCache>
            </c:strRef>
          </c:cat>
          <c:val>
            <c:numRef>
              <c:f>'Pracujúci podľa NACE'!$B$11:$AD$11</c:f>
              <c:numCache>
                <c:formatCode>General</c:formatCode>
                <c:ptCount val="29"/>
                <c:pt idx="0">
                  <c:v>152.9</c:v>
                </c:pt>
                <c:pt idx="1">
                  <c:v>157.6</c:v>
                </c:pt>
                <c:pt idx="2">
                  <c:v>159.9</c:v>
                </c:pt>
                <c:pt idx="3">
                  <c:v>163.19999999999999</c:v>
                </c:pt>
                <c:pt idx="4">
                  <c:v>157.4</c:v>
                </c:pt>
                <c:pt idx="5">
                  <c:v>153</c:v>
                </c:pt>
                <c:pt idx="6">
                  <c:v>150</c:v>
                </c:pt>
                <c:pt idx="7">
                  <c:v>144.69999999999999</c:v>
                </c:pt>
                <c:pt idx="8">
                  <c:v>135.69999999999999</c:v>
                </c:pt>
                <c:pt idx="9">
                  <c:v>143.9</c:v>
                </c:pt>
                <c:pt idx="10">
                  <c:v>151.9</c:v>
                </c:pt>
                <c:pt idx="11">
                  <c:v>150.19999999999999</c:v>
                </c:pt>
                <c:pt idx="12">
                  <c:v>149.4</c:v>
                </c:pt>
                <c:pt idx="13">
                  <c:v>152</c:v>
                </c:pt>
                <c:pt idx="14">
                  <c:v>149.4</c:v>
                </c:pt>
                <c:pt idx="15">
                  <c:v>150.4</c:v>
                </c:pt>
                <c:pt idx="16">
                  <c:v>155.5</c:v>
                </c:pt>
                <c:pt idx="17">
                  <c:v>153.1</c:v>
                </c:pt>
                <c:pt idx="18">
                  <c:v>159.19999999999999</c:v>
                </c:pt>
                <c:pt idx="19">
                  <c:v>160.19999999999999</c:v>
                </c:pt>
                <c:pt idx="20">
                  <c:v>152.1</c:v>
                </c:pt>
                <c:pt idx="21">
                  <c:v>145.80000000000001</c:v>
                </c:pt>
                <c:pt idx="22">
                  <c:v>148.9</c:v>
                </c:pt>
                <c:pt idx="23">
                  <c:v>147</c:v>
                </c:pt>
                <c:pt idx="24">
                  <c:v>147.80000000000001</c:v>
                </c:pt>
                <c:pt idx="25">
                  <c:v>150.30000000000001</c:v>
                </c:pt>
                <c:pt idx="26">
                  <c:v>156.1</c:v>
                </c:pt>
                <c:pt idx="27">
                  <c:v>153.9</c:v>
                </c:pt>
                <c:pt idx="28">
                  <c:v>156.4</c:v>
                </c:pt>
              </c:numCache>
            </c:numRef>
          </c:val>
          <c:smooth val="0"/>
        </c:ser>
        <c:ser>
          <c:idx val="9"/>
          <c:order val="7"/>
          <c:tx>
            <c:strRef>
              <c:f>'Pracujúci podľa NACE'!$A$12</c:f>
              <c:strCache>
                <c:ptCount val="1"/>
                <c:pt idx="0">
                  <c:v>Ubytovacie a stravovacie služby</c:v>
                </c:pt>
              </c:strCache>
            </c:strRef>
          </c:tx>
          <c:marker>
            <c:symbol val="none"/>
          </c:marker>
          <c:cat>
            <c:strRef>
              <c:f>'Pracujúci podľa NACE'!$B$2:$AD$2</c:f>
              <c:strCache>
                <c:ptCount val="29"/>
                <c:pt idx="0">
                  <c:v>2008Q1</c:v>
                </c:pt>
                <c:pt idx="1">
                  <c:v>2008Q2</c:v>
                </c:pt>
                <c:pt idx="2">
                  <c:v>2008Q3</c:v>
                </c:pt>
                <c:pt idx="3">
                  <c:v>2008Q4</c:v>
                </c:pt>
                <c:pt idx="4">
                  <c:v>2009Q1</c:v>
                </c:pt>
                <c:pt idx="5">
                  <c:v>2009Q2</c:v>
                </c:pt>
                <c:pt idx="6">
                  <c:v>2009Q3</c:v>
                </c:pt>
                <c:pt idx="7">
                  <c:v>2009Q4</c:v>
                </c:pt>
                <c:pt idx="8">
                  <c:v>2010Q1</c:v>
                </c:pt>
                <c:pt idx="9">
                  <c:v>2010Q2</c:v>
                </c:pt>
                <c:pt idx="10">
                  <c:v>2010Q3</c:v>
                </c:pt>
                <c:pt idx="11">
                  <c:v>2010Q4</c:v>
                </c:pt>
                <c:pt idx="12">
                  <c:v>2011Q1</c:v>
                </c:pt>
                <c:pt idx="13">
                  <c:v>2011Q2</c:v>
                </c:pt>
                <c:pt idx="14">
                  <c:v>2011Q3</c:v>
                </c:pt>
                <c:pt idx="15">
                  <c:v>2011Q4</c:v>
                </c:pt>
                <c:pt idx="16">
                  <c:v>2012Q1</c:v>
                </c:pt>
                <c:pt idx="17">
                  <c:v>2012Q2</c:v>
                </c:pt>
                <c:pt idx="18">
                  <c:v>2012Q3</c:v>
                </c:pt>
                <c:pt idx="19">
                  <c:v>2012Q4</c:v>
                </c:pt>
                <c:pt idx="20">
                  <c:v>2013Q1</c:v>
                </c:pt>
                <c:pt idx="21">
                  <c:v>2013Q2</c:v>
                </c:pt>
                <c:pt idx="22">
                  <c:v>2013Q3</c:v>
                </c:pt>
                <c:pt idx="23">
                  <c:v>2013Q4</c:v>
                </c:pt>
                <c:pt idx="24">
                  <c:v>2014Q1</c:v>
                </c:pt>
                <c:pt idx="25">
                  <c:v>2014Q2</c:v>
                </c:pt>
                <c:pt idx="26">
                  <c:v>2014Q3</c:v>
                </c:pt>
                <c:pt idx="27">
                  <c:v>2014Q4</c:v>
                </c:pt>
                <c:pt idx="28">
                  <c:v>2015Q1</c:v>
                </c:pt>
              </c:strCache>
            </c:strRef>
          </c:cat>
          <c:val>
            <c:numRef>
              <c:f>'Pracujúci podľa NACE'!$B$12:$AD$12</c:f>
              <c:numCache>
                <c:formatCode>General</c:formatCode>
                <c:ptCount val="29"/>
                <c:pt idx="0">
                  <c:v>109.9</c:v>
                </c:pt>
                <c:pt idx="1">
                  <c:v>106.7</c:v>
                </c:pt>
                <c:pt idx="2">
                  <c:v>107.7</c:v>
                </c:pt>
                <c:pt idx="3">
                  <c:v>105.9</c:v>
                </c:pt>
                <c:pt idx="4">
                  <c:v>104</c:v>
                </c:pt>
                <c:pt idx="5">
                  <c:v>107.1</c:v>
                </c:pt>
                <c:pt idx="6">
                  <c:v>111</c:v>
                </c:pt>
                <c:pt idx="7">
                  <c:v>106.4</c:v>
                </c:pt>
                <c:pt idx="8">
                  <c:v>102.4</c:v>
                </c:pt>
                <c:pt idx="9">
                  <c:v>102.5</c:v>
                </c:pt>
                <c:pt idx="10">
                  <c:v>103.7</c:v>
                </c:pt>
                <c:pt idx="11">
                  <c:v>105.6</c:v>
                </c:pt>
                <c:pt idx="12">
                  <c:v>102.3</c:v>
                </c:pt>
                <c:pt idx="13">
                  <c:v>101.7</c:v>
                </c:pt>
                <c:pt idx="14">
                  <c:v>97.7</c:v>
                </c:pt>
                <c:pt idx="15">
                  <c:v>94.8</c:v>
                </c:pt>
                <c:pt idx="16">
                  <c:v>95.4</c:v>
                </c:pt>
                <c:pt idx="17">
                  <c:v>94.2</c:v>
                </c:pt>
                <c:pt idx="18">
                  <c:v>99.3</c:v>
                </c:pt>
                <c:pt idx="19">
                  <c:v>99.7</c:v>
                </c:pt>
                <c:pt idx="20">
                  <c:v>105.7</c:v>
                </c:pt>
                <c:pt idx="21">
                  <c:v>112.1</c:v>
                </c:pt>
                <c:pt idx="22">
                  <c:v>115.9</c:v>
                </c:pt>
                <c:pt idx="23">
                  <c:v>116.6</c:v>
                </c:pt>
                <c:pt idx="24">
                  <c:v>117.9</c:v>
                </c:pt>
                <c:pt idx="25">
                  <c:v>120.7</c:v>
                </c:pt>
                <c:pt idx="26">
                  <c:v>119.7</c:v>
                </c:pt>
                <c:pt idx="27">
                  <c:v>118.4</c:v>
                </c:pt>
                <c:pt idx="28">
                  <c:v>115.7</c:v>
                </c:pt>
              </c:numCache>
            </c:numRef>
          </c:val>
          <c:smooth val="0"/>
        </c:ser>
        <c:ser>
          <c:idx val="10"/>
          <c:order val="8"/>
          <c:tx>
            <c:strRef>
              <c:f>'Pracujúci podľa NACE'!$A$13</c:f>
              <c:strCache>
                <c:ptCount val="1"/>
                <c:pt idx="0">
                  <c:v>Poľnohospodárstvo, lesníctvo a rybolov</c:v>
                </c:pt>
              </c:strCache>
            </c:strRef>
          </c:tx>
          <c:marker>
            <c:symbol val="none"/>
          </c:marker>
          <c:cat>
            <c:strRef>
              <c:f>'Pracujúci podľa NACE'!$B$2:$AD$2</c:f>
              <c:strCache>
                <c:ptCount val="29"/>
                <c:pt idx="0">
                  <c:v>2008Q1</c:v>
                </c:pt>
                <c:pt idx="1">
                  <c:v>2008Q2</c:v>
                </c:pt>
                <c:pt idx="2">
                  <c:v>2008Q3</c:v>
                </c:pt>
                <c:pt idx="3">
                  <c:v>2008Q4</c:v>
                </c:pt>
                <c:pt idx="4">
                  <c:v>2009Q1</c:v>
                </c:pt>
                <c:pt idx="5">
                  <c:v>2009Q2</c:v>
                </c:pt>
                <c:pt idx="6">
                  <c:v>2009Q3</c:v>
                </c:pt>
                <c:pt idx="7">
                  <c:v>2009Q4</c:v>
                </c:pt>
                <c:pt idx="8">
                  <c:v>2010Q1</c:v>
                </c:pt>
                <c:pt idx="9">
                  <c:v>2010Q2</c:v>
                </c:pt>
                <c:pt idx="10">
                  <c:v>2010Q3</c:v>
                </c:pt>
                <c:pt idx="11">
                  <c:v>2010Q4</c:v>
                </c:pt>
                <c:pt idx="12">
                  <c:v>2011Q1</c:v>
                </c:pt>
                <c:pt idx="13">
                  <c:v>2011Q2</c:v>
                </c:pt>
                <c:pt idx="14">
                  <c:v>2011Q3</c:v>
                </c:pt>
                <c:pt idx="15">
                  <c:v>2011Q4</c:v>
                </c:pt>
                <c:pt idx="16">
                  <c:v>2012Q1</c:v>
                </c:pt>
                <c:pt idx="17">
                  <c:v>2012Q2</c:v>
                </c:pt>
                <c:pt idx="18">
                  <c:v>2012Q3</c:v>
                </c:pt>
                <c:pt idx="19">
                  <c:v>2012Q4</c:v>
                </c:pt>
                <c:pt idx="20">
                  <c:v>2013Q1</c:v>
                </c:pt>
                <c:pt idx="21">
                  <c:v>2013Q2</c:v>
                </c:pt>
                <c:pt idx="22">
                  <c:v>2013Q3</c:v>
                </c:pt>
                <c:pt idx="23">
                  <c:v>2013Q4</c:v>
                </c:pt>
                <c:pt idx="24">
                  <c:v>2014Q1</c:v>
                </c:pt>
                <c:pt idx="25">
                  <c:v>2014Q2</c:v>
                </c:pt>
                <c:pt idx="26">
                  <c:v>2014Q3</c:v>
                </c:pt>
                <c:pt idx="27">
                  <c:v>2014Q4</c:v>
                </c:pt>
                <c:pt idx="28">
                  <c:v>2015Q1</c:v>
                </c:pt>
              </c:strCache>
            </c:strRef>
          </c:cat>
          <c:val>
            <c:numRef>
              <c:f>'Pracujúci podľa NACE'!$B$13:$AD$13</c:f>
              <c:numCache>
                <c:formatCode>General</c:formatCode>
                <c:ptCount val="29"/>
                <c:pt idx="0">
                  <c:v>95.4</c:v>
                </c:pt>
                <c:pt idx="1">
                  <c:v>97.9</c:v>
                </c:pt>
                <c:pt idx="2">
                  <c:v>97.8</c:v>
                </c:pt>
                <c:pt idx="3">
                  <c:v>94</c:v>
                </c:pt>
                <c:pt idx="4">
                  <c:v>88.6</c:v>
                </c:pt>
                <c:pt idx="5">
                  <c:v>86.4</c:v>
                </c:pt>
                <c:pt idx="6">
                  <c:v>83</c:v>
                </c:pt>
                <c:pt idx="7">
                  <c:v>81.5</c:v>
                </c:pt>
                <c:pt idx="8">
                  <c:v>76.599999999999994</c:v>
                </c:pt>
                <c:pt idx="9">
                  <c:v>75.2</c:v>
                </c:pt>
                <c:pt idx="10">
                  <c:v>75.400000000000006</c:v>
                </c:pt>
                <c:pt idx="11">
                  <c:v>72.599999999999994</c:v>
                </c:pt>
                <c:pt idx="12">
                  <c:v>70.400000000000006</c:v>
                </c:pt>
                <c:pt idx="13">
                  <c:v>72.599999999999994</c:v>
                </c:pt>
                <c:pt idx="14">
                  <c:v>69.8</c:v>
                </c:pt>
                <c:pt idx="15">
                  <c:v>72.2</c:v>
                </c:pt>
                <c:pt idx="16">
                  <c:v>74.7</c:v>
                </c:pt>
                <c:pt idx="17">
                  <c:v>75.900000000000006</c:v>
                </c:pt>
                <c:pt idx="18">
                  <c:v>75.599999999999994</c:v>
                </c:pt>
                <c:pt idx="19">
                  <c:v>75.2</c:v>
                </c:pt>
                <c:pt idx="20">
                  <c:v>75.099999999999994</c:v>
                </c:pt>
                <c:pt idx="21">
                  <c:v>77.599999999999994</c:v>
                </c:pt>
                <c:pt idx="22">
                  <c:v>76.8</c:v>
                </c:pt>
                <c:pt idx="23">
                  <c:v>78.8</c:v>
                </c:pt>
                <c:pt idx="24">
                  <c:v>81</c:v>
                </c:pt>
                <c:pt idx="25">
                  <c:v>81.599999999999994</c:v>
                </c:pt>
                <c:pt idx="26">
                  <c:v>87.1</c:v>
                </c:pt>
                <c:pt idx="27">
                  <c:v>80.900000000000006</c:v>
                </c:pt>
                <c:pt idx="28">
                  <c:v>81.7</c:v>
                </c:pt>
              </c:numCache>
            </c:numRef>
          </c:val>
          <c:smooth val="0"/>
        </c:ser>
        <c:ser>
          <c:idx val="11"/>
          <c:order val="9"/>
          <c:tx>
            <c:strRef>
              <c:f>'Pracujúci podľa NACE'!$A$14</c:f>
              <c:strCache>
                <c:ptCount val="1"/>
                <c:pt idx="0">
                  <c:v>Odborné, vedecké a technické činnosti</c:v>
                </c:pt>
              </c:strCache>
            </c:strRef>
          </c:tx>
          <c:marker>
            <c:symbol val="none"/>
          </c:marker>
          <c:cat>
            <c:strRef>
              <c:f>'Pracujúci podľa NACE'!$B$2:$AD$2</c:f>
              <c:strCache>
                <c:ptCount val="29"/>
                <c:pt idx="0">
                  <c:v>2008Q1</c:v>
                </c:pt>
                <c:pt idx="1">
                  <c:v>2008Q2</c:v>
                </c:pt>
                <c:pt idx="2">
                  <c:v>2008Q3</c:v>
                </c:pt>
                <c:pt idx="3">
                  <c:v>2008Q4</c:v>
                </c:pt>
                <c:pt idx="4">
                  <c:v>2009Q1</c:v>
                </c:pt>
                <c:pt idx="5">
                  <c:v>2009Q2</c:v>
                </c:pt>
                <c:pt idx="6">
                  <c:v>2009Q3</c:v>
                </c:pt>
                <c:pt idx="7">
                  <c:v>2009Q4</c:v>
                </c:pt>
                <c:pt idx="8">
                  <c:v>2010Q1</c:v>
                </c:pt>
                <c:pt idx="9">
                  <c:v>2010Q2</c:v>
                </c:pt>
                <c:pt idx="10">
                  <c:v>2010Q3</c:v>
                </c:pt>
                <c:pt idx="11">
                  <c:v>2010Q4</c:v>
                </c:pt>
                <c:pt idx="12">
                  <c:v>2011Q1</c:v>
                </c:pt>
                <c:pt idx="13">
                  <c:v>2011Q2</c:v>
                </c:pt>
                <c:pt idx="14">
                  <c:v>2011Q3</c:v>
                </c:pt>
                <c:pt idx="15">
                  <c:v>2011Q4</c:v>
                </c:pt>
                <c:pt idx="16">
                  <c:v>2012Q1</c:v>
                </c:pt>
                <c:pt idx="17">
                  <c:v>2012Q2</c:v>
                </c:pt>
                <c:pt idx="18">
                  <c:v>2012Q3</c:v>
                </c:pt>
                <c:pt idx="19">
                  <c:v>2012Q4</c:v>
                </c:pt>
                <c:pt idx="20">
                  <c:v>2013Q1</c:v>
                </c:pt>
                <c:pt idx="21">
                  <c:v>2013Q2</c:v>
                </c:pt>
                <c:pt idx="22">
                  <c:v>2013Q3</c:v>
                </c:pt>
                <c:pt idx="23">
                  <c:v>2013Q4</c:v>
                </c:pt>
                <c:pt idx="24">
                  <c:v>2014Q1</c:v>
                </c:pt>
                <c:pt idx="25">
                  <c:v>2014Q2</c:v>
                </c:pt>
                <c:pt idx="26">
                  <c:v>2014Q3</c:v>
                </c:pt>
                <c:pt idx="27">
                  <c:v>2014Q4</c:v>
                </c:pt>
                <c:pt idx="28">
                  <c:v>2015Q1</c:v>
                </c:pt>
              </c:strCache>
            </c:strRef>
          </c:cat>
          <c:val>
            <c:numRef>
              <c:f>'Pracujúci podľa NACE'!$B$14:$AD$14</c:f>
              <c:numCache>
                <c:formatCode>General</c:formatCode>
                <c:ptCount val="29"/>
                <c:pt idx="0">
                  <c:v>72.599999999999994</c:v>
                </c:pt>
                <c:pt idx="1">
                  <c:v>72.900000000000006</c:v>
                </c:pt>
                <c:pt idx="2">
                  <c:v>80.3</c:v>
                </c:pt>
                <c:pt idx="3">
                  <c:v>80.099999999999994</c:v>
                </c:pt>
                <c:pt idx="4">
                  <c:v>81.400000000000006</c:v>
                </c:pt>
                <c:pt idx="5">
                  <c:v>85.6</c:v>
                </c:pt>
                <c:pt idx="6">
                  <c:v>84.4</c:v>
                </c:pt>
                <c:pt idx="7">
                  <c:v>76.7</c:v>
                </c:pt>
                <c:pt idx="8">
                  <c:v>75.900000000000006</c:v>
                </c:pt>
                <c:pt idx="9">
                  <c:v>76.5</c:v>
                </c:pt>
                <c:pt idx="10">
                  <c:v>72.7</c:v>
                </c:pt>
                <c:pt idx="11">
                  <c:v>76.5</c:v>
                </c:pt>
                <c:pt idx="12">
                  <c:v>76.2</c:v>
                </c:pt>
                <c:pt idx="13">
                  <c:v>76.099999999999994</c:v>
                </c:pt>
                <c:pt idx="14">
                  <c:v>76.5</c:v>
                </c:pt>
                <c:pt idx="15">
                  <c:v>76.3</c:v>
                </c:pt>
                <c:pt idx="16">
                  <c:v>73.3</c:v>
                </c:pt>
                <c:pt idx="17">
                  <c:v>73.5</c:v>
                </c:pt>
                <c:pt idx="18">
                  <c:v>72.400000000000006</c:v>
                </c:pt>
                <c:pt idx="19">
                  <c:v>69.099999999999994</c:v>
                </c:pt>
                <c:pt idx="20">
                  <c:v>68.599999999999994</c:v>
                </c:pt>
                <c:pt idx="21">
                  <c:v>69.099999999999994</c:v>
                </c:pt>
                <c:pt idx="22">
                  <c:v>70.400000000000006</c:v>
                </c:pt>
                <c:pt idx="23">
                  <c:v>74.7</c:v>
                </c:pt>
                <c:pt idx="24">
                  <c:v>73.3</c:v>
                </c:pt>
                <c:pt idx="25">
                  <c:v>76.900000000000006</c:v>
                </c:pt>
                <c:pt idx="26">
                  <c:v>78.900000000000006</c:v>
                </c:pt>
                <c:pt idx="27">
                  <c:v>76.7</c:v>
                </c:pt>
                <c:pt idx="28">
                  <c:v>79.8</c:v>
                </c:pt>
              </c:numCache>
            </c:numRef>
          </c:val>
          <c:smooth val="0"/>
        </c:ser>
        <c:ser>
          <c:idx val="12"/>
          <c:order val="10"/>
          <c:tx>
            <c:strRef>
              <c:f>'Pracujúci podľa NACE'!$A$15</c:f>
              <c:strCache>
                <c:ptCount val="1"/>
                <c:pt idx="0">
                  <c:v>Administratívne a podporné služby</c:v>
                </c:pt>
              </c:strCache>
            </c:strRef>
          </c:tx>
          <c:marker>
            <c:symbol val="none"/>
          </c:marker>
          <c:cat>
            <c:strRef>
              <c:f>'Pracujúci podľa NACE'!$B$2:$AD$2</c:f>
              <c:strCache>
                <c:ptCount val="29"/>
                <c:pt idx="0">
                  <c:v>2008Q1</c:v>
                </c:pt>
                <c:pt idx="1">
                  <c:v>2008Q2</c:v>
                </c:pt>
                <c:pt idx="2">
                  <c:v>2008Q3</c:v>
                </c:pt>
                <c:pt idx="3">
                  <c:v>2008Q4</c:v>
                </c:pt>
                <c:pt idx="4">
                  <c:v>2009Q1</c:v>
                </c:pt>
                <c:pt idx="5">
                  <c:v>2009Q2</c:v>
                </c:pt>
                <c:pt idx="6">
                  <c:v>2009Q3</c:v>
                </c:pt>
                <c:pt idx="7">
                  <c:v>2009Q4</c:v>
                </c:pt>
                <c:pt idx="8">
                  <c:v>2010Q1</c:v>
                </c:pt>
                <c:pt idx="9">
                  <c:v>2010Q2</c:v>
                </c:pt>
                <c:pt idx="10">
                  <c:v>2010Q3</c:v>
                </c:pt>
                <c:pt idx="11">
                  <c:v>2010Q4</c:v>
                </c:pt>
                <c:pt idx="12">
                  <c:v>2011Q1</c:v>
                </c:pt>
                <c:pt idx="13">
                  <c:v>2011Q2</c:v>
                </c:pt>
                <c:pt idx="14">
                  <c:v>2011Q3</c:v>
                </c:pt>
                <c:pt idx="15">
                  <c:v>2011Q4</c:v>
                </c:pt>
                <c:pt idx="16">
                  <c:v>2012Q1</c:v>
                </c:pt>
                <c:pt idx="17">
                  <c:v>2012Q2</c:v>
                </c:pt>
                <c:pt idx="18">
                  <c:v>2012Q3</c:v>
                </c:pt>
                <c:pt idx="19">
                  <c:v>2012Q4</c:v>
                </c:pt>
                <c:pt idx="20">
                  <c:v>2013Q1</c:v>
                </c:pt>
                <c:pt idx="21">
                  <c:v>2013Q2</c:v>
                </c:pt>
                <c:pt idx="22">
                  <c:v>2013Q3</c:v>
                </c:pt>
                <c:pt idx="23">
                  <c:v>2013Q4</c:v>
                </c:pt>
                <c:pt idx="24">
                  <c:v>2014Q1</c:v>
                </c:pt>
                <c:pt idx="25">
                  <c:v>2014Q2</c:v>
                </c:pt>
                <c:pt idx="26">
                  <c:v>2014Q3</c:v>
                </c:pt>
                <c:pt idx="27">
                  <c:v>2014Q4</c:v>
                </c:pt>
                <c:pt idx="28">
                  <c:v>2015Q1</c:v>
                </c:pt>
              </c:strCache>
            </c:strRef>
          </c:cat>
          <c:val>
            <c:numRef>
              <c:f>'Pracujúci podľa NACE'!$B$15:$AD$15</c:f>
              <c:numCache>
                <c:formatCode>General</c:formatCode>
                <c:ptCount val="29"/>
                <c:pt idx="0">
                  <c:v>51.4</c:v>
                </c:pt>
                <c:pt idx="1">
                  <c:v>56.6</c:v>
                </c:pt>
                <c:pt idx="2">
                  <c:v>66.599999999999994</c:v>
                </c:pt>
                <c:pt idx="3">
                  <c:v>66.2</c:v>
                </c:pt>
                <c:pt idx="4">
                  <c:v>61.4</c:v>
                </c:pt>
                <c:pt idx="5">
                  <c:v>59.6</c:v>
                </c:pt>
                <c:pt idx="6">
                  <c:v>55.9</c:v>
                </c:pt>
                <c:pt idx="7">
                  <c:v>57.4</c:v>
                </c:pt>
                <c:pt idx="8">
                  <c:v>52.7</c:v>
                </c:pt>
                <c:pt idx="9">
                  <c:v>61.6</c:v>
                </c:pt>
                <c:pt idx="10">
                  <c:v>62.3</c:v>
                </c:pt>
                <c:pt idx="11">
                  <c:v>61.5</c:v>
                </c:pt>
                <c:pt idx="12">
                  <c:v>61.5</c:v>
                </c:pt>
                <c:pt idx="13">
                  <c:v>61.6</c:v>
                </c:pt>
                <c:pt idx="14">
                  <c:v>60.2</c:v>
                </c:pt>
                <c:pt idx="15">
                  <c:v>58.5</c:v>
                </c:pt>
                <c:pt idx="16">
                  <c:v>58.9</c:v>
                </c:pt>
                <c:pt idx="17">
                  <c:v>60.2</c:v>
                </c:pt>
                <c:pt idx="18">
                  <c:v>64</c:v>
                </c:pt>
                <c:pt idx="19">
                  <c:v>62.9</c:v>
                </c:pt>
                <c:pt idx="20">
                  <c:v>65.8</c:v>
                </c:pt>
                <c:pt idx="21">
                  <c:v>64.099999999999994</c:v>
                </c:pt>
                <c:pt idx="22">
                  <c:v>66.400000000000006</c:v>
                </c:pt>
                <c:pt idx="23">
                  <c:v>60.4</c:v>
                </c:pt>
                <c:pt idx="24">
                  <c:v>63.3</c:v>
                </c:pt>
                <c:pt idx="25">
                  <c:v>58.6</c:v>
                </c:pt>
                <c:pt idx="26">
                  <c:v>60.3</c:v>
                </c:pt>
                <c:pt idx="27">
                  <c:v>61.5</c:v>
                </c:pt>
                <c:pt idx="28">
                  <c:v>66.5</c:v>
                </c:pt>
              </c:numCache>
            </c:numRef>
          </c:val>
          <c:smooth val="0"/>
        </c:ser>
        <c:ser>
          <c:idx val="13"/>
          <c:order val="11"/>
          <c:tx>
            <c:strRef>
              <c:f>'Pracujúci podľa NACE'!$A$16</c:f>
              <c:strCache>
                <c:ptCount val="1"/>
                <c:pt idx="0">
                  <c:v>Informácie a komunikácia</c:v>
                </c:pt>
              </c:strCache>
            </c:strRef>
          </c:tx>
          <c:marker>
            <c:symbol val="none"/>
          </c:marker>
          <c:cat>
            <c:strRef>
              <c:f>'Pracujúci podľa NACE'!$B$2:$AD$2</c:f>
              <c:strCache>
                <c:ptCount val="29"/>
                <c:pt idx="0">
                  <c:v>2008Q1</c:v>
                </c:pt>
                <c:pt idx="1">
                  <c:v>2008Q2</c:v>
                </c:pt>
                <c:pt idx="2">
                  <c:v>2008Q3</c:v>
                </c:pt>
                <c:pt idx="3">
                  <c:v>2008Q4</c:v>
                </c:pt>
                <c:pt idx="4">
                  <c:v>2009Q1</c:v>
                </c:pt>
                <c:pt idx="5">
                  <c:v>2009Q2</c:v>
                </c:pt>
                <c:pt idx="6">
                  <c:v>2009Q3</c:v>
                </c:pt>
                <c:pt idx="7">
                  <c:v>2009Q4</c:v>
                </c:pt>
                <c:pt idx="8">
                  <c:v>2010Q1</c:v>
                </c:pt>
                <c:pt idx="9">
                  <c:v>2010Q2</c:v>
                </c:pt>
                <c:pt idx="10">
                  <c:v>2010Q3</c:v>
                </c:pt>
                <c:pt idx="11">
                  <c:v>2010Q4</c:v>
                </c:pt>
                <c:pt idx="12">
                  <c:v>2011Q1</c:v>
                </c:pt>
                <c:pt idx="13">
                  <c:v>2011Q2</c:v>
                </c:pt>
                <c:pt idx="14">
                  <c:v>2011Q3</c:v>
                </c:pt>
                <c:pt idx="15">
                  <c:v>2011Q4</c:v>
                </c:pt>
                <c:pt idx="16">
                  <c:v>2012Q1</c:v>
                </c:pt>
                <c:pt idx="17">
                  <c:v>2012Q2</c:v>
                </c:pt>
                <c:pt idx="18">
                  <c:v>2012Q3</c:v>
                </c:pt>
                <c:pt idx="19">
                  <c:v>2012Q4</c:v>
                </c:pt>
                <c:pt idx="20">
                  <c:v>2013Q1</c:v>
                </c:pt>
                <c:pt idx="21">
                  <c:v>2013Q2</c:v>
                </c:pt>
                <c:pt idx="22">
                  <c:v>2013Q3</c:v>
                </c:pt>
                <c:pt idx="23">
                  <c:v>2013Q4</c:v>
                </c:pt>
                <c:pt idx="24">
                  <c:v>2014Q1</c:v>
                </c:pt>
                <c:pt idx="25">
                  <c:v>2014Q2</c:v>
                </c:pt>
                <c:pt idx="26">
                  <c:v>2014Q3</c:v>
                </c:pt>
                <c:pt idx="27">
                  <c:v>2014Q4</c:v>
                </c:pt>
                <c:pt idx="28">
                  <c:v>2015Q1</c:v>
                </c:pt>
              </c:strCache>
            </c:strRef>
          </c:cat>
          <c:val>
            <c:numRef>
              <c:f>'Pracujúci podľa NACE'!$B$16:$AD$16</c:f>
              <c:numCache>
                <c:formatCode>General</c:formatCode>
                <c:ptCount val="29"/>
                <c:pt idx="0">
                  <c:v>48.3</c:v>
                </c:pt>
                <c:pt idx="1">
                  <c:v>46.9</c:v>
                </c:pt>
                <c:pt idx="2">
                  <c:v>44.3</c:v>
                </c:pt>
                <c:pt idx="3">
                  <c:v>43.8</c:v>
                </c:pt>
                <c:pt idx="4">
                  <c:v>44.6</c:v>
                </c:pt>
                <c:pt idx="5">
                  <c:v>47.6</c:v>
                </c:pt>
                <c:pt idx="6">
                  <c:v>49.6</c:v>
                </c:pt>
                <c:pt idx="7">
                  <c:v>53.2</c:v>
                </c:pt>
                <c:pt idx="8">
                  <c:v>53.9</c:v>
                </c:pt>
                <c:pt idx="9">
                  <c:v>54.3</c:v>
                </c:pt>
                <c:pt idx="10">
                  <c:v>58.1</c:v>
                </c:pt>
                <c:pt idx="11">
                  <c:v>57.3</c:v>
                </c:pt>
                <c:pt idx="12">
                  <c:v>55.6</c:v>
                </c:pt>
                <c:pt idx="13">
                  <c:v>55</c:v>
                </c:pt>
                <c:pt idx="14">
                  <c:v>58</c:v>
                </c:pt>
                <c:pt idx="15">
                  <c:v>57.3</c:v>
                </c:pt>
                <c:pt idx="16">
                  <c:v>62.3</c:v>
                </c:pt>
                <c:pt idx="17">
                  <c:v>63.1</c:v>
                </c:pt>
                <c:pt idx="18">
                  <c:v>60.7</c:v>
                </c:pt>
                <c:pt idx="19">
                  <c:v>58.1</c:v>
                </c:pt>
                <c:pt idx="20">
                  <c:v>56.5</c:v>
                </c:pt>
                <c:pt idx="21">
                  <c:v>47.9</c:v>
                </c:pt>
                <c:pt idx="22">
                  <c:v>48.2</c:v>
                </c:pt>
                <c:pt idx="23">
                  <c:v>54</c:v>
                </c:pt>
                <c:pt idx="24">
                  <c:v>56.2</c:v>
                </c:pt>
                <c:pt idx="25">
                  <c:v>54</c:v>
                </c:pt>
                <c:pt idx="26">
                  <c:v>56.9</c:v>
                </c:pt>
                <c:pt idx="27">
                  <c:v>59.3</c:v>
                </c:pt>
                <c:pt idx="28">
                  <c:v>62</c:v>
                </c:pt>
              </c:numCache>
            </c:numRef>
          </c:val>
          <c:smooth val="0"/>
        </c:ser>
        <c:ser>
          <c:idx val="14"/>
          <c:order val="12"/>
          <c:tx>
            <c:strRef>
              <c:f>'Pracujúci podľa NACE'!$A$17</c:f>
              <c:strCache>
                <c:ptCount val="1"/>
                <c:pt idx="0">
                  <c:v>Finančné a poisťovacie činnosti</c:v>
                </c:pt>
              </c:strCache>
            </c:strRef>
          </c:tx>
          <c:marker>
            <c:symbol val="none"/>
          </c:marker>
          <c:cat>
            <c:strRef>
              <c:f>'Pracujúci podľa NACE'!$B$2:$AD$2</c:f>
              <c:strCache>
                <c:ptCount val="29"/>
                <c:pt idx="0">
                  <c:v>2008Q1</c:v>
                </c:pt>
                <c:pt idx="1">
                  <c:v>2008Q2</c:v>
                </c:pt>
                <c:pt idx="2">
                  <c:v>2008Q3</c:v>
                </c:pt>
                <c:pt idx="3">
                  <c:v>2008Q4</c:v>
                </c:pt>
                <c:pt idx="4">
                  <c:v>2009Q1</c:v>
                </c:pt>
                <c:pt idx="5">
                  <c:v>2009Q2</c:v>
                </c:pt>
                <c:pt idx="6">
                  <c:v>2009Q3</c:v>
                </c:pt>
                <c:pt idx="7">
                  <c:v>2009Q4</c:v>
                </c:pt>
                <c:pt idx="8">
                  <c:v>2010Q1</c:v>
                </c:pt>
                <c:pt idx="9">
                  <c:v>2010Q2</c:v>
                </c:pt>
                <c:pt idx="10">
                  <c:v>2010Q3</c:v>
                </c:pt>
                <c:pt idx="11">
                  <c:v>2010Q4</c:v>
                </c:pt>
                <c:pt idx="12">
                  <c:v>2011Q1</c:v>
                </c:pt>
                <c:pt idx="13">
                  <c:v>2011Q2</c:v>
                </c:pt>
                <c:pt idx="14">
                  <c:v>2011Q3</c:v>
                </c:pt>
                <c:pt idx="15">
                  <c:v>2011Q4</c:v>
                </c:pt>
                <c:pt idx="16">
                  <c:v>2012Q1</c:v>
                </c:pt>
                <c:pt idx="17">
                  <c:v>2012Q2</c:v>
                </c:pt>
                <c:pt idx="18">
                  <c:v>2012Q3</c:v>
                </c:pt>
                <c:pt idx="19">
                  <c:v>2012Q4</c:v>
                </c:pt>
                <c:pt idx="20">
                  <c:v>2013Q1</c:v>
                </c:pt>
                <c:pt idx="21">
                  <c:v>2013Q2</c:v>
                </c:pt>
                <c:pt idx="22">
                  <c:v>2013Q3</c:v>
                </c:pt>
                <c:pt idx="23">
                  <c:v>2013Q4</c:v>
                </c:pt>
                <c:pt idx="24">
                  <c:v>2014Q1</c:v>
                </c:pt>
                <c:pt idx="25">
                  <c:v>2014Q2</c:v>
                </c:pt>
                <c:pt idx="26">
                  <c:v>2014Q3</c:v>
                </c:pt>
                <c:pt idx="27">
                  <c:v>2014Q4</c:v>
                </c:pt>
                <c:pt idx="28">
                  <c:v>2015Q1</c:v>
                </c:pt>
              </c:strCache>
            </c:strRef>
          </c:cat>
          <c:val>
            <c:numRef>
              <c:f>'Pracujúci podľa NACE'!$B$17:$AD$17</c:f>
              <c:numCache>
                <c:formatCode>General</c:formatCode>
                <c:ptCount val="29"/>
                <c:pt idx="0">
                  <c:v>49.5</c:v>
                </c:pt>
                <c:pt idx="1">
                  <c:v>54.2</c:v>
                </c:pt>
                <c:pt idx="2">
                  <c:v>60.9</c:v>
                </c:pt>
                <c:pt idx="3">
                  <c:v>57.2</c:v>
                </c:pt>
                <c:pt idx="4">
                  <c:v>56.9</c:v>
                </c:pt>
                <c:pt idx="5">
                  <c:v>52.5</c:v>
                </c:pt>
                <c:pt idx="6">
                  <c:v>46.9</c:v>
                </c:pt>
                <c:pt idx="7">
                  <c:v>43.5</c:v>
                </c:pt>
                <c:pt idx="8">
                  <c:v>46</c:v>
                </c:pt>
                <c:pt idx="9">
                  <c:v>48.7</c:v>
                </c:pt>
                <c:pt idx="10">
                  <c:v>47.2</c:v>
                </c:pt>
                <c:pt idx="11">
                  <c:v>49.1</c:v>
                </c:pt>
                <c:pt idx="12">
                  <c:v>48</c:v>
                </c:pt>
                <c:pt idx="13">
                  <c:v>53.2</c:v>
                </c:pt>
                <c:pt idx="14">
                  <c:v>53.1</c:v>
                </c:pt>
                <c:pt idx="15">
                  <c:v>53.4</c:v>
                </c:pt>
                <c:pt idx="16">
                  <c:v>53.1</c:v>
                </c:pt>
                <c:pt idx="17">
                  <c:v>54.4</c:v>
                </c:pt>
                <c:pt idx="18">
                  <c:v>50.3</c:v>
                </c:pt>
                <c:pt idx="19">
                  <c:v>49.7</c:v>
                </c:pt>
                <c:pt idx="20">
                  <c:v>53.8</c:v>
                </c:pt>
                <c:pt idx="21">
                  <c:v>54.1</c:v>
                </c:pt>
                <c:pt idx="22">
                  <c:v>50.7</c:v>
                </c:pt>
                <c:pt idx="23">
                  <c:v>51.1</c:v>
                </c:pt>
                <c:pt idx="24">
                  <c:v>54.9</c:v>
                </c:pt>
                <c:pt idx="25">
                  <c:v>51.9</c:v>
                </c:pt>
                <c:pt idx="26">
                  <c:v>50.8</c:v>
                </c:pt>
                <c:pt idx="27">
                  <c:v>45.8</c:v>
                </c:pt>
                <c:pt idx="28">
                  <c:v>41.7</c:v>
                </c:pt>
              </c:numCache>
            </c:numRef>
          </c:val>
          <c:smooth val="0"/>
        </c:ser>
        <c:ser>
          <c:idx val="15"/>
          <c:order val="13"/>
          <c:tx>
            <c:strRef>
              <c:f>'Pracujúci podľa NACE'!$A$18</c:f>
              <c:strCache>
                <c:ptCount val="1"/>
                <c:pt idx="0">
                  <c:v>Umenie, zábava a rekreácia</c:v>
                </c:pt>
              </c:strCache>
            </c:strRef>
          </c:tx>
          <c:marker>
            <c:symbol val="none"/>
          </c:marker>
          <c:cat>
            <c:strRef>
              <c:f>'Pracujúci podľa NACE'!$B$2:$AD$2</c:f>
              <c:strCache>
                <c:ptCount val="29"/>
                <c:pt idx="0">
                  <c:v>2008Q1</c:v>
                </c:pt>
                <c:pt idx="1">
                  <c:v>2008Q2</c:v>
                </c:pt>
                <c:pt idx="2">
                  <c:v>2008Q3</c:v>
                </c:pt>
                <c:pt idx="3">
                  <c:v>2008Q4</c:v>
                </c:pt>
                <c:pt idx="4">
                  <c:v>2009Q1</c:v>
                </c:pt>
                <c:pt idx="5">
                  <c:v>2009Q2</c:v>
                </c:pt>
                <c:pt idx="6">
                  <c:v>2009Q3</c:v>
                </c:pt>
                <c:pt idx="7">
                  <c:v>2009Q4</c:v>
                </c:pt>
                <c:pt idx="8">
                  <c:v>2010Q1</c:v>
                </c:pt>
                <c:pt idx="9">
                  <c:v>2010Q2</c:v>
                </c:pt>
                <c:pt idx="10">
                  <c:v>2010Q3</c:v>
                </c:pt>
                <c:pt idx="11">
                  <c:v>2010Q4</c:v>
                </c:pt>
                <c:pt idx="12">
                  <c:v>2011Q1</c:v>
                </c:pt>
                <c:pt idx="13">
                  <c:v>2011Q2</c:v>
                </c:pt>
                <c:pt idx="14">
                  <c:v>2011Q3</c:v>
                </c:pt>
                <c:pt idx="15">
                  <c:v>2011Q4</c:v>
                </c:pt>
                <c:pt idx="16">
                  <c:v>2012Q1</c:v>
                </c:pt>
                <c:pt idx="17">
                  <c:v>2012Q2</c:v>
                </c:pt>
                <c:pt idx="18">
                  <c:v>2012Q3</c:v>
                </c:pt>
                <c:pt idx="19">
                  <c:v>2012Q4</c:v>
                </c:pt>
                <c:pt idx="20">
                  <c:v>2013Q1</c:v>
                </c:pt>
                <c:pt idx="21">
                  <c:v>2013Q2</c:v>
                </c:pt>
                <c:pt idx="22">
                  <c:v>2013Q3</c:v>
                </c:pt>
                <c:pt idx="23">
                  <c:v>2013Q4</c:v>
                </c:pt>
                <c:pt idx="24">
                  <c:v>2014Q1</c:v>
                </c:pt>
                <c:pt idx="25">
                  <c:v>2014Q2</c:v>
                </c:pt>
                <c:pt idx="26">
                  <c:v>2014Q3</c:v>
                </c:pt>
                <c:pt idx="27">
                  <c:v>2014Q4</c:v>
                </c:pt>
                <c:pt idx="28">
                  <c:v>2015Q1</c:v>
                </c:pt>
              </c:strCache>
            </c:strRef>
          </c:cat>
          <c:val>
            <c:numRef>
              <c:f>'Pracujúci podľa NACE'!$B$18:$AD$18</c:f>
              <c:numCache>
                <c:formatCode>General</c:formatCode>
                <c:ptCount val="29"/>
                <c:pt idx="0">
                  <c:v>24.9</c:v>
                </c:pt>
                <c:pt idx="1">
                  <c:v>25.2</c:v>
                </c:pt>
                <c:pt idx="2">
                  <c:v>24</c:v>
                </c:pt>
                <c:pt idx="3">
                  <c:v>24.2</c:v>
                </c:pt>
                <c:pt idx="4">
                  <c:v>25.8</c:v>
                </c:pt>
                <c:pt idx="5">
                  <c:v>28.7</c:v>
                </c:pt>
                <c:pt idx="6">
                  <c:v>30.4</c:v>
                </c:pt>
                <c:pt idx="7">
                  <c:v>30</c:v>
                </c:pt>
                <c:pt idx="8">
                  <c:v>28.4</c:v>
                </c:pt>
                <c:pt idx="9">
                  <c:v>27.7</c:v>
                </c:pt>
                <c:pt idx="10">
                  <c:v>26.5</c:v>
                </c:pt>
                <c:pt idx="11">
                  <c:v>24.7</c:v>
                </c:pt>
                <c:pt idx="12">
                  <c:v>25.1</c:v>
                </c:pt>
                <c:pt idx="13">
                  <c:v>25</c:v>
                </c:pt>
                <c:pt idx="14">
                  <c:v>27.8</c:v>
                </c:pt>
                <c:pt idx="15">
                  <c:v>27.3</c:v>
                </c:pt>
                <c:pt idx="16">
                  <c:v>26.4</c:v>
                </c:pt>
                <c:pt idx="17">
                  <c:v>26.7</c:v>
                </c:pt>
                <c:pt idx="18">
                  <c:v>31.1</c:v>
                </c:pt>
                <c:pt idx="19">
                  <c:v>28.4</c:v>
                </c:pt>
                <c:pt idx="20">
                  <c:v>29.7</c:v>
                </c:pt>
                <c:pt idx="21">
                  <c:v>32</c:v>
                </c:pt>
                <c:pt idx="22">
                  <c:v>31.4</c:v>
                </c:pt>
                <c:pt idx="23">
                  <c:v>29.2</c:v>
                </c:pt>
                <c:pt idx="24">
                  <c:v>32.5</c:v>
                </c:pt>
                <c:pt idx="25">
                  <c:v>37.4</c:v>
                </c:pt>
                <c:pt idx="26">
                  <c:v>38.700000000000003</c:v>
                </c:pt>
                <c:pt idx="27">
                  <c:v>42.1</c:v>
                </c:pt>
                <c:pt idx="28">
                  <c:v>39.4</c:v>
                </c:pt>
              </c:numCache>
            </c:numRef>
          </c:val>
          <c:smooth val="0"/>
        </c:ser>
        <c:ser>
          <c:idx val="16"/>
          <c:order val="14"/>
          <c:tx>
            <c:strRef>
              <c:f>'Pracujúci podľa NACE'!$A$19</c:f>
              <c:strCache>
                <c:ptCount val="1"/>
                <c:pt idx="0">
                  <c:v>Ostatné činnosti</c:v>
                </c:pt>
              </c:strCache>
            </c:strRef>
          </c:tx>
          <c:marker>
            <c:symbol val="none"/>
          </c:marker>
          <c:cat>
            <c:strRef>
              <c:f>'Pracujúci podľa NACE'!$B$2:$AD$2</c:f>
              <c:strCache>
                <c:ptCount val="29"/>
                <c:pt idx="0">
                  <c:v>2008Q1</c:v>
                </c:pt>
                <c:pt idx="1">
                  <c:v>2008Q2</c:v>
                </c:pt>
                <c:pt idx="2">
                  <c:v>2008Q3</c:v>
                </c:pt>
                <c:pt idx="3">
                  <c:v>2008Q4</c:v>
                </c:pt>
                <c:pt idx="4">
                  <c:v>2009Q1</c:v>
                </c:pt>
                <c:pt idx="5">
                  <c:v>2009Q2</c:v>
                </c:pt>
                <c:pt idx="6">
                  <c:v>2009Q3</c:v>
                </c:pt>
                <c:pt idx="7">
                  <c:v>2009Q4</c:v>
                </c:pt>
                <c:pt idx="8">
                  <c:v>2010Q1</c:v>
                </c:pt>
                <c:pt idx="9">
                  <c:v>2010Q2</c:v>
                </c:pt>
                <c:pt idx="10">
                  <c:v>2010Q3</c:v>
                </c:pt>
                <c:pt idx="11">
                  <c:v>2010Q4</c:v>
                </c:pt>
                <c:pt idx="12">
                  <c:v>2011Q1</c:v>
                </c:pt>
                <c:pt idx="13">
                  <c:v>2011Q2</c:v>
                </c:pt>
                <c:pt idx="14">
                  <c:v>2011Q3</c:v>
                </c:pt>
                <c:pt idx="15">
                  <c:v>2011Q4</c:v>
                </c:pt>
                <c:pt idx="16">
                  <c:v>2012Q1</c:v>
                </c:pt>
                <c:pt idx="17">
                  <c:v>2012Q2</c:v>
                </c:pt>
                <c:pt idx="18">
                  <c:v>2012Q3</c:v>
                </c:pt>
                <c:pt idx="19">
                  <c:v>2012Q4</c:v>
                </c:pt>
                <c:pt idx="20">
                  <c:v>2013Q1</c:v>
                </c:pt>
                <c:pt idx="21">
                  <c:v>2013Q2</c:v>
                </c:pt>
                <c:pt idx="22">
                  <c:v>2013Q3</c:v>
                </c:pt>
                <c:pt idx="23">
                  <c:v>2013Q4</c:v>
                </c:pt>
                <c:pt idx="24">
                  <c:v>2014Q1</c:v>
                </c:pt>
                <c:pt idx="25">
                  <c:v>2014Q2</c:v>
                </c:pt>
                <c:pt idx="26">
                  <c:v>2014Q3</c:v>
                </c:pt>
                <c:pt idx="27">
                  <c:v>2014Q4</c:v>
                </c:pt>
                <c:pt idx="28">
                  <c:v>2015Q1</c:v>
                </c:pt>
              </c:strCache>
            </c:strRef>
          </c:cat>
          <c:val>
            <c:numRef>
              <c:f>'Pracujúci podľa NACE'!$B$19:$AD$19</c:f>
              <c:numCache>
                <c:formatCode>General</c:formatCode>
                <c:ptCount val="29"/>
                <c:pt idx="0">
                  <c:v>38.299999999999997</c:v>
                </c:pt>
                <c:pt idx="1">
                  <c:v>37.5</c:v>
                </c:pt>
                <c:pt idx="2">
                  <c:v>40</c:v>
                </c:pt>
                <c:pt idx="3">
                  <c:v>38.6</c:v>
                </c:pt>
                <c:pt idx="4">
                  <c:v>38.1</c:v>
                </c:pt>
                <c:pt idx="5">
                  <c:v>34.9</c:v>
                </c:pt>
                <c:pt idx="6">
                  <c:v>34</c:v>
                </c:pt>
                <c:pt idx="7">
                  <c:v>33.799999999999997</c:v>
                </c:pt>
                <c:pt idx="8">
                  <c:v>33.1</c:v>
                </c:pt>
                <c:pt idx="9">
                  <c:v>28.9</c:v>
                </c:pt>
                <c:pt idx="10">
                  <c:v>30.6</c:v>
                </c:pt>
                <c:pt idx="11">
                  <c:v>32</c:v>
                </c:pt>
                <c:pt idx="12">
                  <c:v>27.5</c:v>
                </c:pt>
                <c:pt idx="13">
                  <c:v>28.4</c:v>
                </c:pt>
                <c:pt idx="14">
                  <c:v>29.6</c:v>
                </c:pt>
                <c:pt idx="15">
                  <c:v>32</c:v>
                </c:pt>
                <c:pt idx="16">
                  <c:v>33.4</c:v>
                </c:pt>
                <c:pt idx="17">
                  <c:v>33.200000000000003</c:v>
                </c:pt>
                <c:pt idx="18">
                  <c:v>35.9</c:v>
                </c:pt>
                <c:pt idx="19">
                  <c:v>37.6</c:v>
                </c:pt>
                <c:pt idx="20">
                  <c:v>36.1</c:v>
                </c:pt>
                <c:pt idx="21">
                  <c:v>37</c:v>
                </c:pt>
                <c:pt idx="22">
                  <c:v>35.1</c:v>
                </c:pt>
                <c:pt idx="23">
                  <c:v>34.200000000000003</c:v>
                </c:pt>
                <c:pt idx="24">
                  <c:v>32.6</c:v>
                </c:pt>
                <c:pt idx="25">
                  <c:v>31.1</c:v>
                </c:pt>
                <c:pt idx="26">
                  <c:v>31.9</c:v>
                </c:pt>
                <c:pt idx="27">
                  <c:v>31.4</c:v>
                </c:pt>
                <c:pt idx="28">
                  <c:v>29.9</c:v>
                </c:pt>
              </c:numCache>
            </c:numRef>
          </c:val>
          <c:smooth val="0"/>
        </c:ser>
        <c:ser>
          <c:idx val="17"/>
          <c:order val="15"/>
          <c:tx>
            <c:strRef>
              <c:f>'Pracujúci podľa NACE'!$A$20</c:f>
              <c:strCache>
                <c:ptCount val="1"/>
                <c:pt idx="0">
                  <c:v>Dodávka elektriny, plynu, pary a studeného vzduchu</c:v>
                </c:pt>
              </c:strCache>
            </c:strRef>
          </c:tx>
          <c:marker>
            <c:symbol val="none"/>
          </c:marker>
          <c:cat>
            <c:strRef>
              <c:f>'Pracujúci podľa NACE'!$B$2:$AD$2</c:f>
              <c:strCache>
                <c:ptCount val="29"/>
                <c:pt idx="0">
                  <c:v>2008Q1</c:v>
                </c:pt>
                <c:pt idx="1">
                  <c:v>2008Q2</c:v>
                </c:pt>
                <c:pt idx="2">
                  <c:v>2008Q3</c:v>
                </c:pt>
                <c:pt idx="3">
                  <c:v>2008Q4</c:v>
                </c:pt>
                <c:pt idx="4">
                  <c:v>2009Q1</c:v>
                </c:pt>
                <c:pt idx="5">
                  <c:v>2009Q2</c:v>
                </c:pt>
                <c:pt idx="6">
                  <c:v>2009Q3</c:v>
                </c:pt>
                <c:pt idx="7">
                  <c:v>2009Q4</c:v>
                </c:pt>
                <c:pt idx="8">
                  <c:v>2010Q1</c:v>
                </c:pt>
                <c:pt idx="9">
                  <c:v>2010Q2</c:v>
                </c:pt>
                <c:pt idx="10">
                  <c:v>2010Q3</c:v>
                </c:pt>
                <c:pt idx="11">
                  <c:v>2010Q4</c:v>
                </c:pt>
                <c:pt idx="12">
                  <c:v>2011Q1</c:v>
                </c:pt>
                <c:pt idx="13">
                  <c:v>2011Q2</c:v>
                </c:pt>
                <c:pt idx="14">
                  <c:v>2011Q3</c:v>
                </c:pt>
                <c:pt idx="15">
                  <c:v>2011Q4</c:v>
                </c:pt>
                <c:pt idx="16">
                  <c:v>2012Q1</c:v>
                </c:pt>
                <c:pt idx="17">
                  <c:v>2012Q2</c:v>
                </c:pt>
                <c:pt idx="18">
                  <c:v>2012Q3</c:v>
                </c:pt>
                <c:pt idx="19">
                  <c:v>2012Q4</c:v>
                </c:pt>
                <c:pt idx="20">
                  <c:v>2013Q1</c:v>
                </c:pt>
                <c:pt idx="21">
                  <c:v>2013Q2</c:v>
                </c:pt>
                <c:pt idx="22">
                  <c:v>2013Q3</c:v>
                </c:pt>
                <c:pt idx="23">
                  <c:v>2013Q4</c:v>
                </c:pt>
                <c:pt idx="24">
                  <c:v>2014Q1</c:v>
                </c:pt>
                <c:pt idx="25">
                  <c:v>2014Q2</c:v>
                </c:pt>
                <c:pt idx="26">
                  <c:v>2014Q3</c:v>
                </c:pt>
                <c:pt idx="27">
                  <c:v>2014Q4</c:v>
                </c:pt>
                <c:pt idx="28">
                  <c:v>2015Q1</c:v>
                </c:pt>
              </c:strCache>
            </c:strRef>
          </c:cat>
          <c:val>
            <c:numRef>
              <c:f>'Pracujúci podľa NACE'!$B$20:$AD$20</c:f>
              <c:numCache>
                <c:formatCode>General</c:formatCode>
                <c:ptCount val="29"/>
                <c:pt idx="0">
                  <c:v>29.1</c:v>
                </c:pt>
                <c:pt idx="1">
                  <c:v>28.9</c:v>
                </c:pt>
                <c:pt idx="2">
                  <c:v>30.1</c:v>
                </c:pt>
                <c:pt idx="3">
                  <c:v>31.4</c:v>
                </c:pt>
                <c:pt idx="4">
                  <c:v>29.6</c:v>
                </c:pt>
                <c:pt idx="5">
                  <c:v>31.5</c:v>
                </c:pt>
                <c:pt idx="6">
                  <c:v>32.200000000000003</c:v>
                </c:pt>
                <c:pt idx="7">
                  <c:v>29.3</c:v>
                </c:pt>
                <c:pt idx="8">
                  <c:v>27.5</c:v>
                </c:pt>
                <c:pt idx="9">
                  <c:v>27.6</c:v>
                </c:pt>
                <c:pt idx="10">
                  <c:v>27.2</c:v>
                </c:pt>
                <c:pt idx="11">
                  <c:v>25.5</c:v>
                </c:pt>
                <c:pt idx="12">
                  <c:v>27.6</c:v>
                </c:pt>
                <c:pt idx="13">
                  <c:v>27</c:v>
                </c:pt>
                <c:pt idx="14">
                  <c:v>26.4</c:v>
                </c:pt>
                <c:pt idx="15">
                  <c:v>24.4</c:v>
                </c:pt>
                <c:pt idx="16">
                  <c:v>25.4</c:v>
                </c:pt>
                <c:pt idx="17">
                  <c:v>24.3</c:v>
                </c:pt>
                <c:pt idx="18">
                  <c:v>24.1</c:v>
                </c:pt>
                <c:pt idx="19">
                  <c:v>23.5</c:v>
                </c:pt>
                <c:pt idx="20">
                  <c:v>22.7</c:v>
                </c:pt>
                <c:pt idx="21">
                  <c:v>21.4</c:v>
                </c:pt>
                <c:pt idx="22">
                  <c:v>24.4</c:v>
                </c:pt>
                <c:pt idx="23">
                  <c:v>25.5</c:v>
                </c:pt>
                <c:pt idx="24">
                  <c:v>23</c:v>
                </c:pt>
                <c:pt idx="25">
                  <c:v>26.5</c:v>
                </c:pt>
                <c:pt idx="26">
                  <c:v>27.9</c:v>
                </c:pt>
                <c:pt idx="27">
                  <c:v>28.8</c:v>
                </c:pt>
                <c:pt idx="28">
                  <c:v>26.1</c:v>
                </c:pt>
              </c:numCache>
            </c:numRef>
          </c:val>
          <c:smooth val="0"/>
        </c:ser>
        <c:ser>
          <c:idx val="18"/>
          <c:order val="16"/>
          <c:tx>
            <c:strRef>
              <c:f>'Pracujúci podľa NACE'!$A$21</c:f>
              <c:strCache>
                <c:ptCount val="1"/>
                <c:pt idx="0">
                  <c:v>Dodávka vody, čistenie a odvod odpadových vôd, odpady a služby odstraňovania odpadov</c:v>
                </c:pt>
              </c:strCache>
            </c:strRef>
          </c:tx>
          <c:marker>
            <c:symbol val="none"/>
          </c:marker>
          <c:cat>
            <c:strRef>
              <c:f>'Pracujúci podľa NACE'!$B$2:$AD$2</c:f>
              <c:strCache>
                <c:ptCount val="29"/>
                <c:pt idx="0">
                  <c:v>2008Q1</c:v>
                </c:pt>
                <c:pt idx="1">
                  <c:v>2008Q2</c:v>
                </c:pt>
                <c:pt idx="2">
                  <c:v>2008Q3</c:v>
                </c:pt>
                <c:pt idx="3">
                  <c:v>2008Q4</c:v>
                </c:pt>
                <c:pt idx="4">
                  <c:v>2009Q1</c:v>
                </c:pt>
                <c:pt idx="5">
                  <c:v>2009Q2</c:v>
                </c:pt>
                <c:pt idx="6">
                  <c:v>2009Q3</c:v>
                </c:pt>
                <c:pt idx="7">
                  <c:v>2009Q4</c:v>
                </c:pt>
                <c:pt idx="8">
                  <c:v>2010Q1</c:v>
                </c:pt>
                <c:pt idx="9">
                  <c:v>2010Q2</c:v>
                </c:pt>
                <c:pt idx="10">
                  <c:v>2010Q3</c:v>
                </c:pt>
                <c:pt idx="11">
                  <c:v>2010Q4</c:v>
                </c:pt>
                <c:pt idx="12">
                  <c:v>2011Q1</c:v>
                </c:pt>
                <c:pt idx="13">
                  <c:v>2011Q2</c:v>
                </c:pt>
                <c:pt idx="14">
                  <c:v>2011Q3</c:v>
                </c:pt>
                <c:pt idx="15">
                  <c:v>2011Q4</c:v>
                </c:pt>
                <c:pt idx="16">
                  <c:v>2012Q1</c:v>
                </c:pt>
                <c:pt idx="17">
                  <c:v>2012Q2</c:v>
                </c:pt>
                <c:pt idx="18">
                  <c:v>2012Q3</c:v>
                </c:pt>
                <c:pt idx="19">
                  <c:v>2012Q4</c:v>
                </c:pt>
                <c:pt idx="20">
                  <c:v>2013Q1</c:v>
                </c:pt>
                <c:pt idx="21">
                  <c:v>2013Q2</c:v>
                </c:pt>
                <c:pt idx="22">
                  <c:v>2013Q3</c:v>
                </c:pt>
                <c:pt idx="23">
                  <c:v>2013Q4</c:v>
                </c:pt>
                <c:pt idx="24">
                  <c:v>2014Q1</c:v>
                </c:pt>
                <c:pt idx="25">
                  <c:v>2014Q2</c:v>
                </c:pt>
                <c:pt idx="26">
                  <c:v>2014Q3</c:v>
                </c:pt>
                <c:pt idx="27">
                  <c:v>2014Q4</c:v>
                </c:pt>
                <c:pt idx="28">
                  <c:v>2015Q1</c:v>
                </c:pt>
              </c:strCache>
            </c:strRef>
          </c:cat>
          <c:val>
            <c:numRef>
              <c:f>'Pracujúci podľa NACE'!$B$21:$AD$21</c:f>
              <c:numCache>
                <c:formatCode>General</c:formatCode>
                <c:ptCount val="29"/>
                <c:pt idx="0">
                  <c:v>31.9</c:v>
                </c:pt>
                <c:pt idx="1">
                  <c:v>28.2</c:v>
                </c:pt>
                <c:pt idx="2">
                  <c:v>39.799999999999997</c:v>
                </c:pt>
                <c:pt idx="3">
                  <c:v>40.700000000000003</c:v>
                </c:pt>
                <c:pt idx="4">
                  <c:v>31.8</c:v>
                </c:pt>
                <c:pt idx="5">
                  <c:v>33.1</c:v>
                </c:pt>
                <c:pt idx="6">
                  <c:v>38.700000000000003</c:v>
                </c:pt>
                <c:pt idx="7">
                  <c:v>29.9</c:v>
                </c:pt>
                <c:pt idx="8">
                  <c:v>29</c:v>
                </c:pt>
                <c:pt idx="9">
                  <c:v>32.799999999999997</c:v>
                </c:pt>
                <c:pt idx="10">
                  <c:v>34.200000000000003</c:v>
                </c:pt>
                <c:pt idx="11">
                  <c:v>28.2</c:v>
                </c:pt>
                <c:pt idx="12">
                  <c:v>30.7</c:v>
                </c:pt>
                <c:pt idx="13">
                  <c:v>26.6</c:v>
                </c:pt>
                <c:pt idx="14">
                  <c:v>27.5</c:v>
                </c:pt>
                <c:pt idx="15">
                  <c:v>27.8</c:v>
                </c:pt>
                <c:pt idx="16">
                  <c:v>25.6</c:v>
                </c:pt>
                <c:pt idx="17">
                  <c:v>25.3</c:v>
                </c:pt>
                <c:pt idx="18">
                  <c:v>26.5</c:v>
                </c:pt>
                <c:pt idx="19">
                  <c:v>27.1</c:v>
                </c:pt>
                <c:pt idx="20">
                  <c:v>28.4</c:v>
                </c:pt>
                <c:pt idx="21">
                  <c:v>28.5</c:v>
                </c:pt>
                <c:pt idx="22">
                  <c:v>26</c:v>
                </c:pt>
                <c:pt idx="23">
                  <c:v>25.3</c:v>
                </c:pt>
                <c:pt idx="24">
                  <c:v>26.5</c:v>
                </c:pt>
                <c:pt idx="25">
                  <c:v>26.3</c:v>
                </c:pt>
                <c:pt idx="26">
                  <c:v>28.5</c:v>
                </c:pt>
                <c:pt idx="27">
                  <c:v>29.2</c:v>
                </c:pt>
                <c:pt idx="28">
                  <c:v>26.1</c:v>
                </c:pt>
              </c:numCache>
            </c:numRef>
          </c:val>
          <c:smooth val="0"/>
        </c:ser>
        <c:ser>
          <c:idx val="19"/>
          <c:order val="17"/>
          <c:tx>
            <c:strRef>
              <c:f>'Pracujúci podľa NACE'!$A$22</c:f>
              <c:strCache>
                <c:ptCount val="1"/>
                <c:pt idx="0">
                  <c:v>Ťažba a dobývanie</c:v>
                </c:pt>
              </c:strCache>
            </c:strRef>
          </c:tx>
          <c:marker>
            <c:symbol val="none"/>
          </c:marker>
          <c:cat>
            <c:strRef>
              <c:f>'Pracujúci podľa NACE'!$B$2:$AD$2</c:f>
              <c:strCache>
                <c:ptCount val="29"/>
                <c:pt idx="0">
                  <c:v>2008Q1</c:v>
                </c:pt>
                <c:pt idx="1">
                  <c:v>2008Q2</c:v>
                </c:pt>
                <c:pt idx="2">
                  <c:v>2008Q3</c:v>
                </c:pt>
                <c:pt idx="3">
                  <c:v>2008Q4</c:v>
                </c:pt>
                <c:pt idx="4">
                  <c:v>2009Q1</c:v>
                </c:pt>
                <c:pt idx="5">
                  <c:v>2009Q2</c:v>
                </c:pt>
                <c:pt idx="6">
                  <c:v>2009Q3</c:v>
                </c:pt>
                <c:pt idx="7">
                  <c:v>2009Q4</c:v>
                </c:pt>
                <c:pt idx="8">
                  <c:v>2010Q1</c:v>
                </c:pt>
                <c:pt idx="9">
                  <c:v>2010Q2</c:v>
                </c:pt>
                <c:pt idx="10">
                  <c:v>2010Q3</c:v>
                </c:pt>
                <c:pt idx="11">
                  <c:v>2010Q4</c:v>
                </c:pt>
                <c:pt idx="12">
                  <c:v>2011Q1</c:v>
                </c:pt>
                <c:pt idx="13">
                  <c:v>2011Q2</c:v>
                </c:pt>
                <c:pt idx="14">
                  <c:v>2011Q3</c:v>
                </c:pt>
                <c:pt idx="15">
                  <c:v>2011Q4</c:v>
                </c:pt>
                <c:pt idx="16">
                  <c:v>2012Q1</c:v>
                </c:pt>
                <c:pt idx="17">
                  <c:v>2012Q2</c:v>
                </c:pt>
                <c:pt idx="18">
                  <c:v>2012Q3</c:v>
                </c:pt>
                <c:pt idx="19">
                  <c:v>2012Q4</c:v>
                </c:pt>
                <c:pt idx="20">
                  <c:v>2013Q1</c:v>
                </c:pt>
                <c:pt idx="21">
                  <c:v>2013Q2</c:v>
                </c:pt>
                <c:pt idx="22">
                  <c:v>2013Q3</c:v>
                </c:pt>
                <c:pt idx="23">
                  <c:v>2013Q4</c:v>
                </c:pt>
                <c:pt idx="24">
                  <c:v>2014Q1</c:v>
                </c:pt>
                <c:pt idx="25">
                  <c:v>2014Q2</c:v>
                </c:pt>
                <c:pt idx="26">
                  <c:v>2014Q3</c:v>
                </c:pt>
                <c:pt idx="27">
                  <c:v>2014Q4</c:v>
                </c:pt>
                <c:pt idx="28">
                  <c:v>2015Q1</c:v>
                </c:pt>
              </c:strCache>
            </c:strRef>
          </c:cat>
          <c:val>
            <c:numRef>
              <c:f>'Pracujúci podľa NACE'!$B$22:$AD$22</c:f>
              <c:numCache>
                <c:formatCode>General</c:formatCode>
                <c:ptCount val="29"/>
                <c:pt idx="0">
                  <c:v>16.399999999999999</c:v>
                </c:pt>
                <c:pt idx="1">
                  <c:v>14.6</c:v>
                </c:pt>
                <c:pt idx="2">
                  <c:v>14.3</c:v>
                </c:pt>
                <c:pt idx="3">
                  <c:v>10.9</c:v>
                </c:pt>
                <c:pt idx="4">
                  <c:v>9.6</c:v>
                </c:pt>
                <c:pt idx="5">
                  <c:v>9.3000000000000007</c:v>
                </c:pt>
                <c:pt idx="6">
                  <c:v>12</c:v>
                </c:pt>
                <c:pt idx="7">
                  <c:v>12.5</c:v>
                </c:pt>
                <c:pt idx="8">
                  <c:v>13.8</c:v>
                </c:pt>
                <c:pt idx="9">
                  <c:v>13.6</c:v>
                </c:pt>
                <c:pt idx="10">
                  <c:v>14.9</c:v>
                </c:pt>
                <c:pt idx="11">
                  <c:v>13.2</c:v>
                </c:pt>
                <c:pt idx="12">
                  <c:v>10.4</c:v>
                </c:pt>
                <c:pt idx="13">
                  <c:v>11.5</c:v>
                </c:pt>
                <c:pt idx="14">
                  <c:v>12.4</c:v>
                </c:pt>
                <c:pt idx="15">
                  <c:v>12.2</c:v>
                </c:pt>
                <c:pt idx="16">
                  <c:v>12.9</c:v>
                </c:pt>
                <c:pt idx="17">
                  <c:v>13</c:v>
                </c:pt>
                <c:pt idx="18">
                  <c:v>12.8</c:v>
                </c:pt>
                <c:pt idx="19">
                  <c:v>11.9</c:v>
                </c:pt>
                <c:pt idx="20">
                  <c:v>12.8</c:v>
                </c:pt>
                <c:pt idx="21">
                  <c:v>11.8</c:v>
                </c:pt>
                <c:pt idx="22">
                  <c:v>11.4</c:v>
                </c:pt>
                <c:pt idx="23">
                  <c:v>9.8000000000000007</c:v>
                </c:pt>
                <c:pt idx="24">
                  <c:v>9.4</c:v>
                </c:pt>
                <c:pt idx="25">
                  <c:v>9.3000000000000007</c:v>
                </c:pt>
                <c:pt idx="26">
                  <c:v>9.8000000000000007</c:v>
                </c:pt>
                <c:pt idx="27">
                  <c:v>9.8000000000000007</c:v>
                </c:pt>
                <c:pt idx="28">
                  <c:v>12.5</c:v>
                </c:pt>
              </c:numCache>
            </c:numRef>
          </c:val>
          <c:smooth val="0"/>
        </c:ser>
        <c:ser>
          <c:idx val="20"/>
          <c:order val="18"/>
          <c:tx>
            <c:strRef>
              <c:f>'Pracujúci podľa NACE'!$A$23</c:f>
              <c:strCache>
                <c:ptCount val="1"/>
                <c:pt idx="0">
                  <c:v>Činnosti v oblasti nehnuteľností</c:v>
                </c:pt>
              </c:strCache>
            </c:strRef>
          </c:tx>
          <c:marker>
            <c:symbol val="none"/>
          </c:marker>
          <c:cat>
            <c:strRef>
              <c:f>'Pracujúci podľa NACE'!$B$2:$AD$2</c:f>
              <c:strCache>
                <c:ptCount val="29"/>
                <c:pt idx="0">
                  <c:v>2008Q1</c:v>
                </c:pt>
                <c:pt idx="1">
                  <c:v>2008Q2</c:v>
                </c:pt>
                <c:pt idx="2">
                  <c:v>2008Q3</c:v>
                </c:pt>
                <c:pt idx="3">
                  <c:v>2008Q4</c:v>
                </c:pt>
                <c:pt idx="4">
                  <c:v>2009Q1</c:v>
                </c:pt>
                <c:pt idx="5">
                  <c:v>2009Q2</c:v>
                </c:pt>
                <c:pt idx="6">
                  <c:v>2009Q3</c:v>
                </c:pt>
                <c:pt idx="7">
                  <c:v>2009Q4</c:v>
                </c:pt>
                <c:pt idx="8">
                  <c:v>2010Q1</c:v>
                </c:pt>
                <c:pt idx="9">
                  <c:v>2010Q2</c:v>
                </c:pt>
                <c:pt idx="10">
                  <c:v>2010Q3</c:v>
                </c:pt>
                <c:pt idx="11">
                  <c:v>2010Q4</c:v>
                </c:pt>
                <c:pt idx="12">
                  <c:v>2011Q1</c:v>
                </c:pt>
                <c:pt idx="13">
                  <c:v>2011Q2</c:v>
                </c:pt>
                <c:pt idx="14">
                  <c:v>2011Q3</c:v>
                </c:pt>
                <c:pt idx="15">
                  <c:v>2011Q4</c:v>
                </c:pt>
                <c:pt idx="16">
                  <c:v>2012Q1</c:v>
                </c:pt>
                <c:pt idx="17">
                  <c:v>2012Q2</c:v>
                </c:pt>
                <c:pt idx="18">
                  <c:v>2012Q3</c:v>
                </c:pt>
                <c:pt idx="19">
                  <c:v>2012Q4</c:v>
                </c:pt>
                <c:pt idx="20">
                  <c:v>2013Q1</c:v>
                </c:pt>
                <c:pt idx="21">
                  <c:v>2013Q2</c:v>
                </c:pt>
                <c:pt idx="22">
                  <c:v>2013Q3</c:v>
                </c:pt>
                <c:pt idx="23">
                  <c:v>2013Q4</c:v>
                </c:pt>
                <c:pt idx="24">
                  <c:v>2014Q1</c:v>
                </c:pt>
                <c:pt idx="25">
                  <c:v>2014Q2</c:v>
                </c:pt>
                <c:pt idx="26">
                  <c:v>2014Q3</c:v>
                </c:pt>
                <c:pt idx="27">
                  <c:v>2014Q4</c:v>
                </c:pt>
                <c:pt idx="28">
                  <c:v>2015Q1</c:v>
                </c:pt>
              </c:strCache>
            </c:strRef>
          </c:cat>
          <c:val>
            <c:numRef>
              <c:f>'Pracujúci podľa NACE'!$B$23:$AD$23</c:f>
              <c:numCache>
                <c:formatCode>General</c:formatCode>
                <c:ptCount val="29"/>
                <c:pt idx="0">
                  <c:v>13</c:v>
                </c:pt>
                <c:pt idx="1">
                  <c:v>13.6</c:v>
                </c:pt>
                <c:pt idx="2">
                  <c:v>12.5</c:v>
                </c:pt>
                <c:pt idx="3">
                  <c:v>12.7</c:v>
                </c:pt>
                <c:pt idx="4">
                  <c:v>11.2</c:v>
                </c:pt>
                <c:pt idx="5">
                  <c:v>12.4</c:v>
                </c:pt>
                <c:pt idx="6">
                  <c:v>13.1</c:v>
                </c:pt>
                <c:pt idx="7">
                  <c:v>15.3</c:v>
                </c:pt>
                <c:pt idx="8">
                  <c:v>14.9</c:v>
                </c:pt>
                <c:pt idx="9">
                  <c:v>15.1</c:v>
                </c:pt>
                <c:pt idx="10">
                  <c:v>13.5</c:v>
                </c:pt>
                <c:pt idx="11">
                  <c:v>11.8</c:v>
                </c:pt>
                <c:pt idx="12">
                  <c:v>10.3</c:v>
                </c:pt>
                <c:pt idx="13">
                  <c:v>9.4</c:v>
                </c:pt>
                <c:pt idx="14">
                  <c:v>10.3</c:v>
                </c:pt>
                <c:pt idx="15">
                  <c:v>12.4</c:v>
                </c:pt>
                <c:pt idx="16">
                  <c:v>13.9</c:v>
                </c:pt>
                <c:pt idx="17">
                  <c:v>14.7</c:v>
                </c:pt>
                <c:pt idx="18">
                  <c:v>16.2</c:v>
                </c:pt>
                <c:pt idx="19">
                  <c:v>19.3</c:v>
                </c:pt>
                <c:pt idx="20">
                  <c:v>19.5</c:v>
                </c:pt>
                <c:pt idx="21">
                  <c:v>18.5</c:v>
                </c:pt>
                <c:pt idx="22">
                  <c:v>17.3</c:v>
                </c:pt>
                <c:pt idx="23">
                  <c:v>18.399999999999999</c:v>
                </c:pt>
                <c:pt idx="24">
                  <c:v>16.2</c:v>
                </c:pt>
                <c:pt idx="25">
                  <c:v>13.9</c:v>
                </c:pt>
                <c:pt idx="26">
                  <c:v>15</c:v>
                </c:pt>
                <c:pt idx="27">
                  <c:v>13.9</c:v>
                </c:pt>
                <c:pt idx="28">
                  <c:v>12.2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45025280"/>
        <c:axId val="168210432"/>
      </c:lineChart>
      <c:catAx>
        <c:axId val="145025280"/>
        <c:scaling>
          <c:orientation val="minMax"/>
        </c:scaling>
        <c:delete val="0"/>
        <c:axPos val="b"/>
        <c:majorTickMark val="out"/>
        <c:minorTickMark val="none"/>
        <c:tickLblPos val="nextTo"/>
        <c:crossAx val="168210432"/>
        <c:crosses val="autoZero"/>
        <c:auto val="1"/>
        <c:lblAlgn val="ctr"/>
        <c:lblOffset val="100"/>
        <c:noMultiLvlLbl val="0"/>
      </c:catAx>
      <c:valAx>
        <c:axId val="16821043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4502528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6186655684228757"/>
          <c:y val="3.4285779779710944E-2"/>
          <c:w val="0.32817080305808599"/>
          <c:h val="0.94302493691960709"/>
        </c:manualLayout>
      </c:layout>
      <c:overlay val="0"/>
      <c:txPr>
        <a:bodyPr/>
        <a:lstStyle/>
        <a:p>
          <a:pPr>
            <a:defRPr sz="600"/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7"/>
          <c:order val="0"/>
          <c:tx>
            <c:strRef>
              <c:f>'Nezamestnaní podľa dĺžky'!$A$9</c:f>
              <c:strCache>
                <c:ptCount val="1"/>
                <c:pt idx="0">
                  <c:v>viac ako 2 roky</c:v>
                </c:pt>
              </c:strCache>
            </c:strRef>
          </c:tx>
          <c:marker>
            <c:symbol val="none"/>
          </c:marker>
          <c:cat>
            <c:strRef>
              <c:f>'Nezamestnaní podľa dĺžky'!$Z$1:$CH$1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'Nezamestnaní podľa dĺžky'!$Z$9:$CH$9</c:f>
              <c:numCache>
                <c:formatCode>General</c:formatCode>
                <c:ptCount val="61"/>
                <c:pt idx="0">
                  <c:v>137.4</c:v>
                </c:pt>
                <c:pt idx="1">
                  <c:v>150.69999999999999</c:v>
                </c:pt>
                <c:pt idx="2">
                  <c:v>146.5</c:v>
                </c:pt>
                <c:pt idx="3">
                  <c:v>142.19999999999999</c:v>
                </c:pt>
                <c:pt idx="4">
                  <c:v>179.4</c:v>
                </c:pt>
                <c:pt idx="5">
                  <c:v>178.5</c:v>
                </c:pt>
                <c:pt idx="6">
                  <c:v>179.6</c:v>
                </c:pt>
                <c:pt idx="7">
                  <c:v>187.1</c:v>
                </c:pt>
                <c:pt idx="8">
                  <c:v>190.7</c:v>
                </c:pt>
                <c:pt idx="9">
                  <c:v>192.5</c:v>
                </c:pt>
                <c:pt idx="10">
                  <c:v>188.8</c:v>
                </c:pt>
                <c:pt idx="11">
                  <c:v>180.1</c:v>
                </c:pt>
                <c:pt idx="12">
                  <c:v>189.4</c:v>
                </c:pt>
                <c:pt idx="13">
                  <c:v>191.1</c:v>
                </c:pt>
                <c:pt idx="14">
                  <c:v>192.1</c:v>
                </c:pt>
                <c:pt idx="15">
                  <c:v>190.7</c:v>
                </c:pt>
                <c:pt idx="16">
                  <c:v>214.7</c:v>
                </c:pt>
                <c:pt idx="17">
                  <c:v>214.5</c:v>
                </c:pt>
                <c:pt idx="18">
                  <c:v>201.8</c:v>
                </c:pt>
                <c:pt idx="19">
                  <c:v>204.9</c:v>
                </c:pt>
                <c:pt idx="20">
                  <c:v>212.3</c:v>
                </c:pt>
                <c:pt idx="21">
                  <c:v>208.3</c:v>
                </c:pt>
                <c:pt idx="22">
                  <c:v>212.7</c:v>
                </c:pt>
                <c:pt idx="23">
                  <c:v>218.8</c:v>
                </c:pt>
                <c:pt idx="24">
                  <c:v>220.4</c:v>
                </c:pt>
                <c:pt idx="25">
                  <c:v>207.8</c:v>
                </c:pt>
                <c:pt idx="26">
                  <c:v>198.3</c:v>
                </c:pt>
                <c:pt idx="27">
                  <c:v>190</c:v>
                </c:pt>
                <c:pt idx="28">
                  <c:v>176.8</c:v>
                </c:pt>
                <c:pt idx="29">
                  <c:v>167.3</c:v>
                </c:pt>
                <c:pt idx="30">
                  <c:v>166.5</c:v>
                </c:pt>
                <c:pt idx="31">
                  <c:v>158.80000000000001</c:v>
                </c:pt>
                <c:pt idx="32">
                  <c:v>157.19999999999999</c:v>
                </c:pt>
                <c:pt idx="33">
                  <c:v>151.19999999999999</c:v>
                </c:pt>
                <c:pt idx="34">
                  <c:v>120.5</c:v>
                </c:pt>
                <c:pt idx="35">
                  <c:v>114.1</c:v>
                </c:pt>
                <c:pt idx="36">
                  <c:v>119.8</c:v>
                </c:pt>
                <c:pt idx="37">
                  <c:v>116</c:v>
                </c:pt>
                <c:pt idx="38">
                  <c:v>126.3</c:v>
                </c:pt>
                <c:pt idx="39">
                  <c:v>134.1</c:v>
                </c:pt>
                <c:pt idx="40">
                  <c:v>146.80000000000001</c:v>
                </c:pt>
                <c:pt idx="41">
                  <c:v>142.1</c:v>
                </c:pt>
                <c:pt idx="42">
                  <c:v>144.80000000000001</c:v>
                </c:pt>
                <c:pt idx="43">
                  <c:v>148.5</c:v>
                </c:pt>
                <c:pt idx="44">
                  <c:v>157.5</c:v>
                </c:pt>
                <c:pt idx="45">
                  <c:v>154.30000000000001</c:v>
                </c:pt>
                <c:pt idx="46">
                  <c:v>154.9</c:v>
                </c:pt>
                <c:pt idx="47">
                  <c:v>169.4</c:v>
                </c:pt>
                <c:pt idx="48">
                  <c:v>169.8</c:v>
                </c:pt>
                <c:pt idx="49">
                  <c:v>169.2</c:v>
                </c:pt>
                <c:pt idx="50">
                  <c:v>165.2</c:v>
                </c:pt>
                <c:pt idx="51">
                  <c:v>177.3</c:v>
                </c:pt>
                <c:pt idx="52">
                  <c:v>180</c:v>
                </c:pt>
                <c:pt idx="53">
                  <c:v>186.5</c:v>
                </c:pt>
                <c:pt idx="54">
                  <c:v>186.7</c:v>
                </c:pt>
                <c:pt idx="55">
                  <c:v>197.8</c:v>
                </c:pt>
                <c:pt idx="56">
                  <c:v>193.4</c:v>
                </c:pt>
                <c:pt idx="57">
                  <c:v>179.7</c:v>
                </c:pt>
                <c:pt idx="58">
                  <c:v>166.6</c:v>
                </c:pt>
                <c:pt idx="59">
                  <c:v>160.6</c:v>
                </c:pt>
                <c:pt idx="60">
                  <c:v>146.1</c:v>
                </c:pt>
              </c:numCache>
            </c:numRef>
          </c:val>
          <c:smooth val="0"/>
        </c:ser>
        <c:ser>
          <c:idx val="6"/>
          <c:order val="1"/>
          <c:tx>
            <c:strRef>
              <c:f>'Nezamestnaní podľa dĺžky'!$A$8</c:f>
              <c:strCache>
                <c:ptCount val="1"/>
                <c:pt idx="0">
                  <c:v>viac ako 1 rok až 2 roky</c:v>
                </c:pt>
              </c:strCache>
            </c:strRef>
          </c:tx>
          <c:marker>
            <c:symbol val="none"/>
          </c:marker>
          <c:cat>
            <c:strRef>
              <c:f>'Nezamestnaní podľa dĺžky'!$Z$1:$CH$1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'Nezamestnaní podľa dĺžky'!$Z$8:$CH$8</c:f>
              <c:numCache>
                <c:formatCode>General</c:formatCode>
                <c:ptCount val="61"/>
                <c:pt idx="0">
                  <c:v>109.4</c:v>
                </c:pt>
                <c:pt idx="1">
                  <c:v>113.4</c:v>
                </c:pt>
                <c:pt idx="2">
                  <c:v>122.6</c:v>
                </c:pt>
                <c:pt idx="3">
                  <c:v>124.2</c:v>
                </c:pt>
                <c:pt idx="4">
                  <c:v>99.5</c:v>
                </c:pt>
                <c:pt idx="5">
                  <c:v>102.5</c:v>
                </c:pt>
                <c:pt idx="6">
                  <c:v>105.7</c:v>
                </c:pt>
                <c:pt idx="7">
                  <c:v>98.9</c:v>
                </c:pt>
                <c:pt idx="8">
                  <c:v>104.6</c:v>
                </c:pt>
                <c:pt idx="9">
                  <c:v>101.5</c:v>
                </c:pt>
                <c:pt idx="10">
                  <c:v>104.8</c:v>
                </c:pt>
                <c:pt idx="11">
                  <c:v>102.5</c:v>
                </c:pt>
                <c:pt idx="12">
                  <c:v>102.9</c:v>
                </c:pt>
                <c:pt idx="13">
                  <c:v>85.2</c:v>
                </c:pt>
                <c:pt idx="14">
                  <c:v>85.9</c:v>
                </c:pt>
                <c:pt idx="15">
                  <c:v>86.1</c:v>
                </c:pt>
                <c:pt idx="16">
                  <c:v>82.3</c:v>
                </c:pt>
                <c:pt idx="17">
                  <c:v>80.599999999999994</c:v>
                </c:pt>
                <c:pt idx="18">
                  <c:v>82.2</c:v>
                </c:pt>
                <c:pt idx="19">
                  <c:v>83.7</c:v>
                </c:pt>
                <c:pt idx="20">
                  <c:v>91.3</c:v>
                </c:pt>
                <c:pt idx="21">
                  <c:v>80.900000000000006</c:v>
                </c:pt>
                <c:pt idx="22">
                  <c:v>73.5</c:v>
                </c:pt>
                <c:pt idx="23">
                  <c:v>66.8</c:v>
                </c:pt>
                <c:pt idx="24">
                  <c:v>64.599999999999994</c:v>
                </c:pt>
                <c:pt idx="25">
                  <c:v>58</c:v>
                </c:pt>
                <c:pt idx="26">
                  <c:v>48.7</c:v>
                </c:pt>
                <c:pt idx="27">
                  <c:v>45.1</c:v>
                </c:pt>
                <c:pt idx="28">
                  <c:v>42.8</c:v>
                </c:pt>
                <c:pt idx="29">
                  <c:v>40.1</c:v>
                </c:pt>
                <c:pt idx="30">
                  <c:v>37.799999999999997</c:v>
                </c:pt>
                <c:pt idx="31">
                  <c:v>37.200000000000003</c:v>
                </c:pt>
                <c:pt idx="32">
                  <c:v>39.4</c:v>
                </c:pt>
                <c:pt idx="33">
                  <c:v>35.5</c:v>
                </c:pt>
                <c:pt idx="34">
                  <c:v>30.8</c:v>
                </c:pt>
                <c:pt idx="35">
                  <c:v>31</c:v>
                </c:pt>
                <c:pt idx="36">
                  <c:v>36.799999999999997</c:v>
                </c:pt>
                <c:pt idx="37">
                  <c:v>35.4</c:v>
                </c:pt>
                <c:pt idx="38">
                  <c:v>39.299999999999997</c:v>
                </c:pt>
                <c:pt idx="39">
                  <c:v>52.7</c:v>
                </c:pt>
                <c:pt idx="40">
                  <c:v>70.900000000000006</c:v>
                </c:pt>
                <c:pt idx="41">
                  <c:v>84.8</c:v>
                </c:pt>
                <c:pt idx="42">
                  <c:v>92</c:v>
                </c:pt>
                <c:pt idx="43">
                  <c:v>93.1</c:v>
                </c:pt>
                <c:pt idx="44">
                  <c:v>84.9</c:v>
                </c:pt>
                <c:pt idx="45">
                  <c:v>75.3</c:v>
                </c:pt>
                <c:pt idx="46">
                  <c:v>65.8</c:v>
                </c:pt>
                <c:pt idx="47">
                  <c:v>71.400000000000006</c:v>
                </c:pt>
                <c:pt idx="48">
                  <c:v>71.099999999999994</c:v>
                </c:pt>
                <c:pt idx="49">
                  <c:v>62.2</c:v>
                </c:pt>
                <c:pt idx="50">
                  <c:v>71.599999999999994</c:v>
                </c:pt>
                <c:pt idx="51">
                  <c:v>76.099999999999994</c:v>
                </c:pt>
                <c:pt idx="52">
                  <c:v>75.2</c:v>
                </c:pt>
                <c:pt idx="53">
                  <c:v>68.3</c:v>
                </c:pt>
                <c:pt idx="54">
                  <c:v>66.7</c:v>
                </c:pt>
                <c:pt idx="55">
                  <c:v>66.7</c:v>
                </c:pt>
                <c:pt idx="56">
                  <c:v>70.2</c:v>
                </c:pt>
                <c:pt idx="57">
                  <c:v>62.2</c:v>
                </c:pt>
                <c:pt idx="58">
                  <c:v>63.8</c:v>
                </c:pt>
                <c:pt idx="59">
                  <c:v>61.7</c:v>
                </c:pt>
                <c:pt idx="60">
                  <c:v>59.6</c:v>
                </c:pt>
              </c:numCache>
            </c:numRef>
          </c:val>
          <c:smooth val="0"/>
        </c:ser>
        <c:ser>
          <c:idx val="5"/>
          <c:order val="2"/>
          <c:tx>
            <c:strRef>
              <c:f>'Nezamestnaní podľa dĺžky'!$A$7</c:f>
              <c:strCache>
                <c:ptCount val="1"/>
                <c:pt idx="0">
                  <c:v>viac ako 6 mesiacov až 1 rok</c:v>
                </c:pt>
              </c:strCache>
            </c:strRef>
          </c:tx>
          <c:marker>
            <c:symbol val="none"/>
          </c:marker>
          <c:cat>
            <c:strRef>
              <c:f>'Nezamestnaní podľa dĺžky'!$Z$1:$CH$1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'Nezamestnaní podľa dĺžky'!$Z$7:$CH$7</c:f>
              <c:numCache>
                <c:formatCode>General</c:formatCode>
                <c:ptCount val="61"/>
                <c:pt idx="0">
                  <c:v>98.5</c:v>
                </c:pt>
                <c:pt idx="1">
                  <c:v>100.3</c:v>
                </c:pt>
                <c:pt idx="2">
                  <c:v>92.6</c:v>
                </c:pt>
                <c:pt idx="3">
                  <c:v>88</c:v>
                </c:pt>
                <c:pt idx="4">
                  <c:v>93</c:v>
                </c:pt>
                <c:pt idx="5">
                  <c:v>98.6</c:v>
                </c:pt>
                <c:pt idx="6">
                  <c:v>107</c:v>
                </c:pt>
                <c:pt idx="7">
                  <c:v>99.4</c:v>
                </c:pt>
                <c:pt idx="8">
                  <c:v>91.2</c:v>
                </c:pt>
                <c:pt idx="9">
                  <c:v>89.5</c:v>
                </c:pt>
                <c:pt idx="10">
                  <c:v>91</c:v>
                </c:pt>
                <c:pt idx="11">
                  <c:v>74.5</c:v>
                </c:pt>
                <c:pt idx="12">
                  <c:v>70.599999999999994</c:v>
                </c:pt>
                <c:pt idx="13">
                  <c:v>73.5</c:v>
                </c:pt>
                <c:pt idx="14">
                  <c:v>69.5</c:v>
                </c:pt>
                <c:pt idx="15">
                  <c:v>66.400000000000006</c:v>
                </c:pt>
                <c:pt idx="16">
                  <c:v>75.099999999999994</c:v>
                </c:pt>
                <c:pt idx="17">
                  <c:v>78</c:v>
                </c:pt>
                <c:pt idx="18">
                  <c:v>85.4</c:v>
                </c:pt>
                <c:pt idx="19">
                  <c:v>77.900000000000006</c:v>
                </c:pt>
                <c:pt idx="20">
                  <c:v>62.5</c:v>
                </c:pt>
                <c:pt idx="21">
                  <c:v>58.8</c:v>
                </c:pt>
                <c:pt idx="22">
                  <c:v>56.5</c:v>
                </c:pt>
                <c:pt idx="23">
                  <c:v>50</c:v>
                </c:pt>
                <c:pt idx="24">
                  <c:v>44.7</c:v>
                </c:pt>
                <c:pt idx="25">
                  <c:v>39.9</c:v>
                </c:pt>
                <c:pt idx="26">
                  <c:v>39.200000000000003</c:v>
                </c:pt>
                <c:pt idx="27">
                  <c:v>34.200000000000003</c:v>
                </c:pt>
                <c:pt idx="28">
                  <c:v>34.700000000000003</c:v>
                </c:pt>
                <c:pt idx="29">
                  <c:v>33.1</c:v>
                </c:pt>
                <c:pt idx="30">
                  <c:v>33.6</c:v>
                </c:pt>
                <c:pt idx="31">
                  <c:v>32.700000000000003</c:v>
                </c:pt>
                <c:pt idx="32">
                  <c:v>36.799999999999997</c:v>
                </c:pt>
                <c:pt idx="33">
                  <c:v>33.5</c:v>
                </c:pt>
                <c:pt idx="34">
                  <c:v>30.3</c:v>
                </c:pt>
                <c:pt idx="35">
                  <c:v>28.8</c:v>
                </c:pt>
                <c:pt idx="36">
                  <c:v>32.6</c:v>
                </c:pt>
                <c:pt idx="37">
                  <c:v>40.5</c:v>
                </c:pt>
                <c:pt idx="38">
                  <c:v>61.4</c:v>
                </c:pt>
                <c:pt idx="39">
                  <c:v>71.5</c:v>
                </c:pt>
                <c:pt idx="40">
                  <c:v>77.8</c:v>
                </c:pt>
                <c:pt idx="41">
                  <c:v>75.3</c:v>
                </c:pt>
                <c:pt idx="42">
                  <c:v>69.5</c:v>
                </c:pt>
                <c:pt idx="43">
                  <c:v>59.9</c:v>
                </c:pt>
                <c:pt idx="44">
                  <c:v>54.2</c:v>
                </c:pt>
                <c:pt idx="45">
                  <c:v>58</c:v>
                </c:pt>
                <c:pt idx="46">
                  <c:v>56.8</c:v>
                </c:pt>
                <c:pt idx="47">
                  <c:v>51.8</c:v>
                </c:pt>
                <c:pt idx="48">
                  <c:v>59.7</c:v>
                </c:pt>
                <c:pt idx="49">
                  <c:v>63.3</c:v>
                </c:pt>
                <c:pt idx="50">
                  <c:v>51.4</c:v>
                </c:pt>
                <c:pt idx="51">
                  <c:v>46.4</c:v>
                </c:pt>
                <c:pt idx="52">
                  <c:v>51.2</c:v>
                </c:pt>
                <c:pt idx="53">
                  <c:v>55.2</c:v>
                </c:pt>
                <c:pt idx="54">
                  <c:v>54.8</c:v>
                </c:pt>
                <c:pt idx="55">
                  <c:v>46.5</c:v>
                </c:pt>
                <c:pt idx="56">
                  <c:v>48.9</c:v>
                </c:pt>
                <c:pt idx="57">
                  <c:v>55.2</c:v>
                </c:pt>
                <c:pt idx="58">
                  <c:v>49.5</c:v>
                </c:pt>
                <c:pt idx="59">
                  <c:v>35.5</c:v>
                </c:pt>
                <c:pt idx="60">
                  <c:v>37.1</c:v>
                </c:pt>
              </c:numCache>
            </c:numRef>
          </c:val>
          <c:smooth val="0"/>
        </c:ser>
        <c:ser>
          <c:idx val="4"/>
          <c:order val="3"/>
          <c:tx>
            <c:strRef>
              <c:f>'Nezamestnaní podľa dĺžky'!$A$6</c:f>
              <c:strCache>
                <c:ptCount val="1"/>
                <c:pt idx="0">
                  <c:v>viac ako 3 mesiace až 6 mesiacov</c:v>
                </c:pt>
              </c:strCache>
            </c:strRef>
          </c:tx>
          <c:marker>
            <c:symbol val="none"/>
          </c:marker>
          <c:cat>
            <c:strRef>
              <c:f>'Nezamestnaní podľa dĺžky'!$Z$1:$CH$1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'Nezamestnaní podľa dĺžky'!$Z$6:$CH$6</c:f>
              <c:numCache>
                <c:formatCode>General</c:formatCode>
                <c:ptCount val="61"/>
                <c:pt idx="0">
                  <c:v>72.5</c:v>
                </c:pt>
                <c:pt idx="1">
                  <c:v>63.3</c:v>
                </c:pt>
                <c:pt idx="2">
                  <c:v>53.1</c:v>
                </c:pt>
                <c:pt idx="3">
                  <c:v>62.8</c:v>
                </c:pt>
                <c:pt idx="4">
                  <c:v>53.1</c:v>
                </c:pt>
                <c:pt idx="5">
                  <c:v>69.599999999999994</c:v>
                </c:pt>
                <c:pt idx="6">
                  <c:v>48.5</c:v>
                </c:pt>
                <c:pt idx="7">
                  <c:v>51</c:v>
                </c:pt>
                <c:pt idx="8">
                  <c:v>47.5</c:v>
                </c:pt>
                <c:pt idx="9">
                  <c:v>54.6</c:v>
                </c:pt>
                <c:pt idx="10">
                  <c:v>29</c:v>
                </c:pt>
                <c:pt idx="11">
                  <c:v>47.5</c:v>
                </c:pt>
                <c:pt idx="12">
                  <c:v>42.5</c:v>
                </c:pt>
                <c:pt idx="13">
                  <c:v>48.6</c:v>
                </c:pt>
                <c:pt idx="14">
                  <c:v>32.700000000000003</c:v>
                </c:pt>
                <c:pt idx="15">
                  <c:v>44.1</c:v>
                </c:pt>
                <c:pt idx="16">
                  <c:v>45.7</c:v>
                </c:pt>
                <c:pt idx="17">
                  <c:v>62.1</c:v>
                </c:pt>
                <c:pt idx="18">
                  <c:v>37.799999999999997</c:v>
                </c:pt>
                <c:pt idx="19">
                  <c:v>36.799999999999997</c:v>
                </c:pt>
                <c:pt idx="20">
                  <c:v>37.9</c:v>
                </c:pt>
                <c:pt idx="21">
                  <c:v>36.4</c:v>
                </c:pt>
                <c:pt idx="22">
                  <c:v>28.2</c:v>
                </c:pt>
                <c:pt idx="23">
                  <c:v>29.2</c:v>
                </c:pt>
                <c:pt idx="24">
                  <c:v>25.7</c:v>
                </c:pt>
                <c:pt idx="25">
                  <c:v>25.2</c:v>
                </c:pt>
                <c:pt idx="26">
                  <c:v>15.7</c:v>
                </c:pt>
                <c:pt idx="27">
                  <c:v>22.6</c:v>
                </c:pt>
                <c:pt idx="28">
                  <c:v>18</c:v>
                </c:pt>
                <c:pt idx="29">
                  <c:v>19.899999999999999</c:v>
                </c:pt>
                <c:pt idx="30">
                  <c:v>18</c:v>
                </c:pt>
                <c:pt idx="31">
                  <c:v>22.1</c:v>
                </c:pt>
                <c:pt idx="32">
                  <c:v>20.3</c:v>
                </c:pt>
                <c:pt idx="33">
                  <c:v>19.899999999999999</c:v>
                </c:pt>
                <c:pt idx="34">
                  <c:v>18.399999999999999</c:v>
                </c:pt>
                <c:pt idx="35">
                  <c:v>22.9</c:v>
                </c:pt>
                <c:pt idx="36">
                  <c:v>23.4</c:v>
                </c:pt>
                <c:pt idx="37">
                  <c:v>41.8</c:v>
                </c:pt>
                <c:pt idx="38">
                  <c:v>39.5</c:v>
                </c:pt>
                <c:pt idx="39">
                  <c:v>46.8</c:v>
                </c:pt>
                <c:pt idx="40">
                  <c:v>46.5</c:v>
                </c:pt>
                <c:pt idx="41">
                  <c:v>41.3</c:v>
                </c:pt>
                <c:pt idx="42">
                  <c:v>26.8</c:v>
                </c:pt>
                <c:pt idx="43">
                  <c:v>33</c:v>
                </c:pt>
                <c:pt idx="44">
                  <c:v>31.5</c:v>
                </c:pt>
                <c:pt idx="45">
                  <c:v>30.3</c:v>
                </c:pt>
                <c:pt idx="46">
                  <c:v>25.1</c:v>
                </c:pt>
                <c:pt idx="47">
                  <c:v>38.700000000000003</c:v>
                </c:pt>
                <c:pt idx="48">
                  <c:v>37.299999999999997</c:v>
                </c:pt>
                <c:pt idx="49">
                  <c:v>31</c:v>
                </c:pt>
                <c:pt idx="50">
                  <c:v>21.6</c:v>
                </c:pt>
                <c:pt idx="51">
                  <c:v>37.1</c:v>
                </c:pt>
                <c:pt idx="52">
                  <c:v>35.200000000000003</c:v>
                </c:pt>
                <c:pt idx="53">
                  <c:v>29.7</c:v>
                </c:pt>
                <c:pt idx="54">
                  <c:v>22.2</c:v>
                </c:pt>
                <c:pt idx="55">
                  <c:v>35.200000000000003</c:v>
                </c:pt>
                <c:pt idx="56">
                  <c:v>33.299999999999997</c:v>
                </c:pt>
                <c:pt idx="57">
                  <c:v>28.5</c:v>
                </c:pt>
                <c:pt idx="58">
                  <c:v>20.399999999999999</c:v>
                </c:pt>
                <c:pt idx="59">
                  <c:v>24.6</c:v>
                </c:pt>
                <c:pt idx="60">
                  <c:v>30.6</c:v>
                </c:pt>
              </c:numCache>
            </c:numRef>
          </c:val>
          <c:smooth val="0"/>
        </c:ser>
        <c:ser>
          <c:idx val="3"/>
          <c:order val="4"/>
          <c:tx>
            <c:strRef>
              <c:f>'Nezamestnaní podľa dĺžky'!$A$5</c:f>
              <c:strCache>
                <c:ptCount val="1"/>
                <c:pt idx="0">
                  <c:v>viac ako 1 mesiac až 3 mesiace</c:v>
                </c:pt>
              </c:strCache>
            </c:strRef>
          </c:tx>
          <c:marker>
            <c:symbol val="none"/>
          </c:marker>
          <c:cat>
            <c:strRef>
              <c:f>'Nezamestnaní podľa dĺžky'!$Z$1:$CH$1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'Nezamestnaní podľa dĺžky'!$Z$5:$CH$5</c:f>
              <c:numCache>
                <c:formatCode>General</c:formatCode>
                <c:ptCount val="61"/>
                <c:pt idx="0">
                  <c:v>53.5</c:v>
                </c:pt>
                <c:pt idx="1">
                  <c:v>33.4</c:v>
                </c:pt>
                <c:pt idx="2">
                  <c:v>46.7</c:v>
                </c:pt>
                <c:pt idx="3">
                  <c:v>33.5</c:v>
                </c:pt>
                <c:pt idx="4">
                  <c:v>56.4</c:v>
                </c:pt>
                <c:pt idx="5">
                  <c:v>35.299999999999997</c:v>
                </c:pt>
                <c:pt idx="6">
                  <c:v>37.6</c:v>
                </c:pt>
                <c:pt idx="7">
                  <c:v>32.6</c:v>
                </c:pt>
                <c:pt idx="8">
                  <c:v>39.799999999999997</c:v>
                </c:pt>
                <c:pt idx="9">
                  <c:v>23.1</c:v>
                </c:pt>
                <c:pt idx="10">
                  <c:v>34.1</c:v>
                </c:pt>
                <c:pt idx="11">
                  <c:v>32.1</c:v>
                </c:pt>
                <c:pt idx="12">
                  <c:v>42.4</c:v>
                </c:pt>
                <c:pt idx="13">
                  <c:v>25.6</c:v>
                </c:pt>
                <c:pt idx="14">
                  <c:v>38</c:v>
                </c:pt>
                <c:pt idx="15">
                  <c:v>33.4</c:v>
                </c:pt>
                <c:pt idx="16">
                  <c:v>49.8</c:v>
                </c:pt>
                <c:pt idx="17">
                  <c:v>30.1</c:v>
                </c:pt>
                <c:pt idx="18">
                  <c:v>33.4</c:v>
                </c:pt>
                <c:pt idx="19">
                  <c:v>29.9</c:v>
                </c:pt>
                <c:pt idx="20">
                  <c:v>25.5</c:v>
                </c:pt>
                <c:pt idx="21">
                  <c:v>21.1</c:v>
                </c:pt>
                <c:pt idx="22">
                  <c:v>22.6</c:v>
                </c:pt>
                <c:pt idx="23">
                  <c:v>22.4</c:v>
                </c:pt>
                <c:pt idx="24">
                  <c:v>23.1</c:v>
                </c:pt>
                <c:pt idx="25">
                  <c:v>12.9</c:v>
                </c:pt>
                <c:pt idx="26">
                  <c:v>22.1</c:v>
                </c:pt>
                <c:pt idx="27">
                  <c:v>15.4</c:v>
                </c:pt>
                <c:pt idx="28">
                  <c:v>13.1</c:v>
                </c:pt>
                <c:pt idx="29">
                  <c:v>13.2</c:v>
                </c:pt>
                <c:pt idx="30">
                  <c:v>22.1</c:v>
                </c:pt>
                <c:pt idx="31">
                  <c:v>14.7</c:v>
                </c:pt>
                <c:pt idx="32">
                  <c:v>10.5</c:v>
                </c:pt>
                <c:pt idx="33">
                  <c:v>14.4</c:v>
                </c:pt>
                <c:pt idx="34">
                  <c:v>18.7</c:v>
                </c:pt>
                <c:pt idx="35">
                  <c:v>18.100000000000001</c:v>
                </c:pt>
                <c:pt idx="36">
                  <c:v>25.4</c:v>
                </c:pt>
                <c:pt idx="37">
                  <c:v>30.1</c:v>
                </c:pt>
                <c:pt idx="38">
                  <c:v>37.4</c:v>
                </c:pt>
                <c:pt idx="39">
                  <c:v>39</c:v>
                </c:pt>
                <c:pt idx="40">
                  <c:v>33.5</c:v>
                </c:pt>
                <c:pt idx="41">
                  <c:v>20.3</c:v>
                </c:pt>
                <c:pt idx="42">
                  <c:v>24.3</c:v>
                </c:pt>
                <c:pt idx="43">
                  <c:v>21.6</c:v>
                </c:pt>
                <c:pt idx="44">
                  <c:v>23.7</c:v>
                </c:pt>
                <c:pt idx="45">
                  <c:v>18</c:v>
                </c:pt>
                <c:pt idx="46">
                  <c:v>24.2</c:v>
                </c:pt>
                <c:pt idx="47">
                  <c:v>27</c:v>
                </c:pt>
                <c:pt idx="48">
                  <c:v>22.6</c:v>
                </c:pt>
                <c:pt idx="49">
                  <c:v>16</c:v>
                </c:pt>
                <c:pt idx="50">
                  <c:v>29.9</c:v>
                </c:pt>
                <c:pt idx="51">
                  <c:v>30.6</c:v>
                </c:pt>
                <c:pt idx="52">
                  <c:v>23.4</c:v>
                </c:pt>
                <c:pt idx="53">
                  <c:v>17.899999999999999</c:v>
                </c:pt>
                <c:pt idx="54">
                  <c:v>24.3</c:v>
                </c:pt>
                <c:pt idx="55">
                  <c:v>24.7</c:v>
                </c:pt>
                <c:pt idx="56">
                  <c:v>19.600000000000001</c:v>
                </c:pt>
                <c:pt idx="57">
                  <c:v>17.2</c:v>
                </c:pt>
                <c:pt idx="58">
                  <c:v>20.9</c:v>
                </c:pt>
                <c:pt idx="59">
                  <c:v>30.9</c:v>
                </c:pt>
                <c:pt idx="60">
                  <c:v>26.1</c:v>
                </c:pt>
              </c:numCache>
            </c:numRef>
          </c:val>
          <c:smooth val="0"/>
        </c:ser>
        <c:ser>
          <c:idx val="2"/>
          <c:order val="5"/>
          <c:tx>
            <c:strRef>
              <c:f>'Nezamestnaní podľa dĺžky'!$A$4</c:f>
              <c:strCache>
                <c:ptCount val="1"/>
                <c:pt idx="0">
                  <c:v>do 1 mesiaca (vrátane)</c:v>
                </c:pt>
              </c:strCache>
            </c:strRef>
          </c:tx>
          <c:marker>
            <c:symbol val="none"/>
          </c:marker>
          <c:cat>
            <c:strRef>
              <c:f>'Nezamestnaní podľa dĺžky'!$Z$1:$CH$1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'Nezamestnaní podľa dĺžky'!$Z$4:$CH$4</c:f>
              <c:numCache>
                <c:formatCode>General</c:formatCode>
                <c:ptCount val="61"/>
                <c:pt idx="0">
                  <c:v>13.4</c:v>
                </c:pt>
                <c:pt idx="1">
                  <c:v>22</c:v>
                </c:pt>
                <c:pt idx="2">
                  <c:v>17.399999999999999</c:v>
                </c:pt>
                <c:pt idx="3">
                  <c:v>16.600000000000001</c:v>
                </c:pt>
                <c:pt idx="4">
                  <c:v>33.200000000000003</c:v>
                </c:pt>
                <c:pt idx="5">
                  <c:v>21</c:v>
                </c:pt>
                <c:pt idx="6">
                  <c:v>22.8</c:v>
                </c:pt>
                <c:pt idx="7">
                  <c:v>21.6</c:v>
                </c:pt>
                <c:pt idx="8">
                  <c:v>34.5</c:v>
                </c:pt>
                <c:pt idx="9">
                  <c:v>24.7</c:v>
                </c:pt>
                <c:pt idx="10">
                  <c:v>32</c:v>
                </c:pt>
                <c:pt idx="11">
                  <c:v>34.799999999999997</c:v>
                </c:pt>
                <c:pt idx="12">
                  <c:v>34.1</c:v>
                </c:pt>
                <c:pt idx="13">
                  <c:v>22.9</c:v>
                </c:pt>
                <c:pt idx="14">
                  <c:v>30.8</c:v>
                </c:pt>
                <c:pt idx="15">
                  <c:v>37.5</c:v>
                </c:pt>
                <c:pt idx="16">
                  <c:v>44</c:v>
                </c:pt>
                <c:pt idx="17">
                  <c:v>24.1</c:v>
                </c:pt>
                <c:pt idx="18">
                  <c:v>26.3</c:v>
                </c:pt>
                <c:pt idx="19">
                  <c:v>22</c:v>
                </c:pt>
                <c:pt idx="20">
                  <c:v>32.5</c:v>
                </c:pt>
                <c:pt idx="21">
                  <c:v>19.8</c:v>
                </c:pt>
                <c:pt idx="22">
                  <c:v>21.4</c:v>
                </c:pt>
                <c:pt idx="23">
                  <c:v>20.399999999999999</c:v>
                </c:pt>
                <c:pt idx="24">
                  <c:v>17.100000000000001</c:v>
                </c:pt>
                <c:pt idx="25">
                  <c:v>13.1</c:v>
                </c:pt>
                <c:pt idx="26">
                  <c:v>17.3</c:v>
                </c:pt>
                <c:pt idx="27">
                  <c:v>11.5</c:v>
                </c:pt>
                <c:pt idx="28">
                  <c:v>17.7</c:v>
                </c:pt>
                <c:pt idx="29">
                  <c:v>17.7</c:v>
                </c:pt>
                <c:pt idx="30">
                  <c:v>19.899999999999999</c:v>
                </c:pt>
                <c:pt idx="31">
                  <c:v>9.8000000000000007</c:v>
                </c:pt>
                <c:pt idx="32">
                  <c:v>16.3</c:v>
                </c:pt>
                <c:pt idx="33">
                  <c:v>16.399999999999999</c:v>
                </c:pt>
                <c:pt idx="34">
                  <c:v>25.4</c:v>
                </c:pt>
                <c:pt idx="35">
                  <c:v>19.5</c:v>
                </c:pt>
                <c:pt idx="36">
                  <c:v>43</c:v>
                </c:pt>
                <c:pt idx="37">
                  <c:v>38.4</c:v>
                </c:pt>
                <c:pt idx="38">
                  <c:v>35.1</c:v>
                </c:pt>
                <c:pt idx="39">
                  <c:v>30.5</c:v>
                </c:pt>
                <c:pt idx="40">
                  <c:v>31.6</c:v>
                </c:pt>
                <c:pt idx="41">
                  <c:v>24.5</c:v>
                </c:pt>
                <c:pt idx="42">
                  <c:v>25.9</c:v>
                </c:pt>
                <c:pt idx="43">
                  <c:v>21.4</c:v>
                </c:pt>
                <c:pt idx="44">
                  <c:v>20.399999999999999</c:v>
                </c:pt>
                <c:pt idx="45">
                  <c:v>17.399999999999999</c:v>
                </c:pt>
                <c:pt idx="46">
                  <c:v>27.7</c:v>
                </c:pt>
                <c:pt idx="47">
                  <c:v>20.100000000000001</c:v>
                </c:pt>
                <c:pt idx="48">
                  <c:v>19.8</c:v>
                </c:pt>
                <c:pt idx="49">
                  <c:v>26.4</c:v>
                </c:pt>
                <c:pt idx="50">
                  <c:v>31.5</c:v>
                </c:pt>
                <c:pt idx="51">
                  <c:v>22.8</c:v>
                </c:pt>
                <c:pt idx="52">
                  <c:v>30.4</c:v>
                </c:pt>
                <c:pt idx="53">
                  <c:v>22.4</c:v>
                </c:pt>
                <c:pt idx="54">
                  <c:v>27.3</c:v>
                </c:pt>
                <c:pt idx="55">
                  <c:v>15.6</c:v>
                </c:pt>
                <c:pt idx="56">
                  <c:v>17.5</c:v>
                </c:pt>
                <c:pt idx="57">
                  <c:v>13.7</c:v>
                </c:pt>
                <c:pt idx="58">
                  <c:v>29.4</c:v>
                </c:pt>
                <c:pt idx="59">
                  <c:v>31.5</c:v>
                </c:pt>
                <c:pt idx="60">
                  <c:v>39.5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68574976"/>
        <c:axId val="168576512"/>
      </c:lineChart>
      <c:catAx>
        <c:axId val="168574976"/>
        <c:scaling>
          <c:orientation val="minMax"/>
        </c:scaling>
        <c:delete val="0"/>
        <c:axPos val="b"/>
        <c:majorTickMark val="out"/>
        <c:minorTickMark val="none"/>
        <c:tickLblPos val="nextTo"/>
        <c:crossAx val="168576512"/>
        <c:crosses val="autoZero"/>
        <c:auto val="1"/>
        <c:lblAlgn val="ctr"/>
        <c:lblOffset val="100"/>
        <c:noMultiLvlLbl val="0"/>
      </c:catAx>
      <c:valAx>
        <c:axId val="16857651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68574976"/>
        <c:crossesAt val="1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7"/>
          <c:order val="0"/>
          <c:tx>
            <c:strRef>
              <c:f>'Nezamestnaní podľa dĺžky'!$A$9</c:f>
              <c:strCache>
                <c:ptCount val="1"/>
                <c:pt idx="0">
                  <c:v>viac ako 2 roky</c:v>
                </c:pt>
              </c:strCache>
            </c:strRef>
          </c:tx>
          <c:invertIfNegative val="0"/>
          <c:cat>
            <c:strRef>
              <c:f>'Nezamestnaní podľa dĺžky'!$Z$1:$CH$1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'Nezamestnaní podľa dĺžky'!$Z$9:$CH$9</c:f>
              <c:numCache>
                <c:formatCode>General</c:formatCode>
                <c:ptCount val="61"/>
                <c:pt idx="0">
                  <c:v>137.4</c:v>
                </c:pt>
                <c:pt idx="1">
                  <c:v>150.69999999999999</c:v>
                </c:pt>
                <c:pt idx="2">
                  <c:v>146.5</c:v>
                </c:pt>
                <c:pt idx="3">
                  <c:v>142.19999999999999</c:v>
                </c:pt>
                <c:pt idx="4">
                  <c:v>179.4</c:v>
                </c:pt>
                <c:pt idx="5">
                  <c:v>178.5</c:v>
                </c:pt>
                <c:pt idx="6">
                  <c:v>179.6</c:v>
                </c:pt>
                <c:pt idx="7">
                  <c:v>187.1</c:v>
                </c:pt>
                <c:pt idx="8">
                  <c:v>190.7</c:v>
                </c:pt>
                <c:pt idx="9">
                  <c:v>192.5</c:v>
                </c:pt>
                <c:pt idx="10">
                  <c:v>188.8</c:v>
                </c:pt>
                <c:pt idx="11">
                  <c:v>180.1</c:v>
                </c:pt>
                <c:pt idx="12">
                  <c:v>189.4</c:v>
                </c:pt>
                <c:pt idx="13">
                  <c:v>191.1</c:v>
                </c:pt>
                <c:pt idx="14">
                  <c:v>192.1</c:v>
                </c:pt>
                <c:pt idx="15">
                  <c:v>190.7</c:v>
                </c:pt>
                <c:pt idx="16">
                  <c:v>214.7</c:v>
                </c:pt>
                <c:pt idx="17">
                  <c:v>214.5</c:v>
                </c:pt>
                <c:pt idx="18">
                  <c:v>201.8</c:v>
                </c:pt>
                <c:pt idx="19">
                  <c:v>204.9</c:v>
                </c:pt>
                <c:pt idx="20">
                  <c:v>212.3</c:v>
                </c:pt>
                <c:pt idx="21">
                  <c:v>208.3</c:v>
                </c:pt>
                <c:pt idx="22">
                  <c:v>212.7</c:v>
                </c:pt>
                <c:pt idx="23">
                  <c:v>218.8</c:v>
                </c:pt>
                <c:pt idx="24">
                  <c:v>220.4</c:v>
                </c:pt>
                <c:pt idx="25">
                  <c:v>207.8</c:v>
                </c:pt>
                <c:pt idx="26">
                  <c:v>198.3</c:v>
                </c:pt>
                <c:pt idx="27">
                  <c:v>190</c:v>
                </c:pt>
                <c:pt idx="28">
                  <c:v>176.8</c:v>
                </c:pt>
                <c:pt idx="29">
                  <c:v>167.3</c:v>
                </c:pt>
                <c:pt idx="30">
                  <c:v>166.5</c:v>
                </c:pt>
                <c:pt idx="31">
                  <c:v>158.80000000000001</c:v>
                </c:pt>
                <c:pt idx="32">
                  <c:v>157.19999999999999</c:v>
                </c:pt>
                <c:pt idx="33">
                  <c:v>151.19999999999999</c:v>
                </c:pt>
                <c:pt idx="34">
                  <c:v>120.5</c:v>
                </c:pt>
                <c:pt idx="35">
                  <c:v>114.1</c:v>
                </c:pt>
                <c:pt idx="36">
                  <c:v>119.8</c:v>
                </c:pt>
                <c:pt idx="37">
                  <c:v>116</c:v>
                </c:pt>
                <c:pt idx="38">
                  <c:v>126.3</c:v>
                </c:pt>
                <c:pt idx="39">
                  <c:v>134.1</c:v>
                </c:pt>
                <c:pt idx="40">
                  <c:v>146.80000000000001</c:v>
                </c:pt>
                <c:pt idx="41">
                  <c:v>142.1</c:v>
                </c:pt>
                <c:pt idx="42">
                  <c:v>144.80000000000001</c:v>
                </c:pt>
                <c:pt idx="43">
                  <c:v>148.5</c:v>
                </c:pt>
                <c:pt idx="44">
                  <c:v>157.5</c:v>
                </c:pt>
                <c:pt idx="45">
                  <c:v>154.30000000000001</c:v>
                </c:pt>
                <c:pt idx="46">
                  <c:v>154.9</c:v>
                </c:pt>
                <c:pt idx="47">
                  <c:v>169.4</c:v>
                </c:pt>
                <c:pt idx="48">
                  <c:v>169.8</c:v>
                </c:pt>
                <c:pt idx="49">
                  <c:v>169.2</c:v>
                </c:pt>
                <c:pt idx="50">
                  <c:v>165.2</c:v>
                </c:pt>
                <c:pt idx="51">
                  <c:v>177.3</c:v>
                </c:pt>
                <c:pt idx="52">
                  <c:v>180</c:v>
                </c:pt>
                <c:pt idx="53">
                  <c:v>186.5</c:v>
                </c:pt>
                <c:pt idx="54">
                  <c:v>186.7</c:v>
                </c:pt>
                <c:pt idx="55">
                  <c:v>197.8</c:v>
                </c:pt>
                <c:pt idx="56">
                  <c:v>193.4</c:v>
                </c:pt>
                <c:pt idx="57">
                  <c:v>179.7</c:v>
                </c:pt>
                <c:pt idx="58">
                  <c:v>166.6</c:v>
                </c:pt>
                <c:pt idx="59">
                  <c:v>160.6</c:v>
                </c:pt>
                <c:pt idx="60">
                  <c:v>146.1</c:v>
                </c:pt>
              </c:numCache>
            </c:numRef>
          </c:val>
        </c:ser>
        <c:ser>
          <c:idx val="6"/>
          <c:order val="1"/>
          <c:tx>
            <c:strRef>
              <c:f>'Nezamestnaní podľa dĺžky'!$A$8</c:f>
              <c:strCache>
                <c:ptCount val="1"/>
                <c:pt idx="0">
                  <c:v>viac ako 1 rok až 2 roky</c:v>
                </c:pt>
              </c:strCache>
            </c:strRef>
          </c:tx>
          <c:invertIfNegative val="0"/>
          <c:cat>
            <c:strRef>
              <c:f>'Nezamestnaní podľa dĺžky'!$Z$1:$CH$1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'Nezamestnaní podľa dĺžky'!$Z$8:$CH$8</c:f>
              <c:numCache>
                <c:formatCode>General</c:formatCode>
                <c:ptCount val="61"/>
                <c:pt idx="0">
                  <c:v>109.4</c:v>
                </c:pt>
                <c:pt idx="1">
                  <c:v>113.4</c:v>
                </c:pt>
                <c:pt idx="2">
                  <c:v>122.6</c:v>
                </c:pt>
                <c:pt idx="3">
                  <c:v>124.2</c:v>
                </c:pt>
                <c:pt idx="4">
                  <c:v>99.5</c:v>
                </c:pt>
                <c:pt idx="5">
                  <c:v>102.5</c:v>
                </c:pt>
                <c:pt idx="6">
                  <c:v>105.7</c:v>
                </c:pt>
                <c:pt idx="7">
                  <c:v>98.9</c:v>
                </c:pt>
                <c:pt idx="8">
                  <c:v>104.6</c:v>
                </c:pt>
                <c:pt idx="9">
                  <c:v>101.5</c:v>
                </c:pt>
                <c:pt idx="10">
                  <c:v>104.8</c:v>
                </c:pt>
                <c:pt idx="11">
                  <c:v>102.5</c:v>
                </c:pt>
                <c:pt idx="12">
                  <c:v>102.9</c:v>
                </c:pt>
                <c:pt idx="13">
                  <c:v>85.2</c:v>
                </c:pt>
                <c:pt idx="14">
                  <c:v>85.9</c:v>
                </c:pt>
                <c:pt idx="15">
                  <c:v>86.1</c:v>
                </c:pt>
                <c:pt idx="16">
                  <c:v>82.3</c:v>
                </c:pt>
                <c:pt idx="17">
                  <c:v>80.599999999999994</c:v>
                </c:pt>
                <c:pt idx="18">
                  <c:v>82.2</c:v>
                </c:pt>
                <c:pt idx="19">
                  <c:v>83.7</c:v>
                </c:pt>
                <c:pt idx="20">
                  <c:v>91.3</c:v>
                </c:pt>
                <c:pt idx="21">
                  <c:v>80.900000000000006</c:v>
                </c:pt>
                <c:pt idx="22">
                  <c:v>73.5</c:v>
                </c:pt>
                <c:pt idx="23">
                  <c:v>66.8</c:v>
                </c:pt>
                <c:pt idx="24">
                  <c:v>64.599999999999994</c:v>
                </c:pt>
                <c:pt idx="25">
                  <c:v>58</c:v>
                </c:pt>
                <c:pt idx="26">
                  <c:v>48.7</c:v>
                </c:pt>
                <c:pt idx="27">
                  <c:v>45.1</c:v>
                </c:pt>
                <c:pt idx="28">
                  <c:v>42.8</c:v>
                </c:pt>
                <c:pt idx="29">
                  <c:v>40.1</c:v>
                </c:pt>
                <c:pt idx="30">
                  <c:v>37.799999999999997</c:v>
                </c:pt>
                <c:pt idx="31">
                  <c:v>37.200000000000003</c:v>
                </c:pt>
                <c:pt idx="32">
                  <c:v>39.4</c:v>
                </c:pt>
                <c:pt idx="33">
                  <c:v>35.5</c:v>
                </c:pt>
                <c:pt idx="34">
                  <c:v>30.8</c:v>
                </c:pt>
                <c:pt idx="35">
                  <c:v>31</c:v>
                </c:pt>
                <c:pt idx="36">
                  <c:v>36.799999999999997</c:v>
                </c:pt>
                <c:pt idx="37">
                  <c:v>35.4</c:v>
                </c:pt>
                <c:pt idx="38">
                  <c:v>39.299999999999997</c:v>
                </c:pt>
                <c:pt idx="39">
                  <c:v>52.7</c:v>
                </c:pt>
                <c:pt idx="40">
                  <c:v>70.900000000000006</c:v>
                </c:pt>
                <c:pt idx="41">
                  <c:v>84.8</c:v>
                </c:pt>
                <c:pt idx="42">
                  <c:v>92</c:v>
                </c:pt>
                <c:pt idx="43">
                  <c:v>93.1</c:v>
                </c:pt>
                <c:pt idx="44">
                  <c:v>84.9</c:v>
                </c:pt>
                <c:pt idx="45">
                  <c:v>75.3</c:v>
                </c:pt>
                <c:pt idx="46">
                  <c:v>65.8</c:v>
                </c:pt>
                <c:pt idx="47">
                  <c:v>71.400000000000006</c:v>
                </c:pt>
                <c:pt idx="48">
                  <c:v>71.099999999999994</c:v>
                </c:pt>
                <c:pt idx="49">
                  <c:v>62.2</c:v>
                </c:pt>
                <c:pt idx="50">
                  <c:v>71.599999999999994</c:v>
                </c:pt>
                <c:pt idx="51">
                  <c:v>76.099999999999994</c:v>
                </c:pt>
                <c:pt idx="52">
                  <c:v>75.2</c:v>
                </c:pt>
                <c:pt idx="53">
                  <c:v>68.3</c:v>
                </c:pt>
                <c:pt idx="54">
                  <c:v>66.7</c:v>
                </c:pt>
                <c:pt idx="55">
                  <c:v>66.7</c:v>
                </c:pt>
                <c:pt idx="56">
                  <c:v>70.2</c:v>
                </c:pt>
                <c:pt idx="57">
                  <c:v>62.2</c:v>
                </c:pt>
                <c:pt idx="58">
                  <c:v>63.8</c:v>
                </c:pt>
                <c:pt idx="59">
                  <c:v>61.7</c:v>
                </c:pt>
                <c:pt idx="60">
                  <c:v>59.6</c:v>
                </c:pt>
              </c:numCache>
            </c:numRef>
          </c:val>
        </c:ser>
        <c:ser>
          <c:idx val="5"/>
          <c:order val="2"/>
          <c:tx>
            <c:strRef>
              <c:f>'Nezamestnaní podľa dĺžky'!$A$7</c:f>
              <c:strCache>
                <c:ptCount val="1"/>
                <c:pt idx="0">
                  <c:v>viac ako 6 mesiacov až 1 rok</c:v>
                </c:pt>
              </c:strCache>
            </c:strRef>
          </c:tx>
          <c:invertIfNegative val="0"/>
          <c:cat>
            <c:strRef>
              <c:f>'Nezamestnaní podľa dĺžky'!$Z$1:$CH$1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'Nezamestnaní podľa dĺžky'!$Z$7:$CH$7</c:f>
              <c:numCache>
                <c:formatCode>General</c:formatCode>
                <c:ptCount val="61"/>
                <c:pt idx="0">
                  <c:v>98.5</c:v>
                </c:pt>
                <c:pt idx="1">
                  <c:v>100.3</c:v>
                </c:pt>
                <c:pt idx="2">
                  <c:v>92.6</c:v>
                </c:pt>
                <c:pt idx="3">
                  <c:v>88</c:v>
                </c:pt>
                <c:pt idx="4">
                  <c:v>93</c:v>
                </c:pt>
                <c:pt idx="5">
                  <c:v>98.6</c:v>
                </c:pt>
                <c:pt idx="6">
                  <c:v>107</c:v>
                </c:pt>
                <c:pt idx="7">
                  <c:v>99.4</c:v>
                </c:pt>
                <c:pt idx="8">
                  <c:v>91.2</c:v>
                </c:pt>
                <c:pt idx="9">
                  <c:v>89.5</c:v>
                </c:pt>
                <c:pt idx="10">
                  <c:v>91</c:v>
                </c:pt>
                <c:pt idx="11">
                  <c:v>74.5</c:v>
                </c:pt>
                <c:pt idx="12">
                  <c:v>70.599999999999994</c:v>
                </c:pt>
                <c:pt idx="13">
                  <c:v>73.5</c:v>
                </c:pt>
                <c:pt idx="14">
                  <c:v>69.5</c:v>
                </c:pt>
                <c:pt idx="15">
                  <c:v>66.400000000000006</c:v>
                </c:pt>
                <c:pt idx="16">
                  <c:v>75.099999999999994</c:v>
                </c:pt>
                <c:pt idx="17">
                  <c:v>78</c:v>
                </c:pt>
                <c:pt idx="18">
                  <c:v>85.4</c:v>
                </c:pt>
                <c:pt idx="19">
                  <c:v>77.900000000000006</c:v>
                </c:pt>
                <c:pt idx="20">
                  <c:v>62.5</c:v>
                </c:pt>
                <c:pt idx="21">
                  <c:v>58.8</c:v>
                </c:pt>
                <c:pt idx="22">
                  <c:v>56.5</c:v>
                </c:pt>
                <c:pt idx="23">
                  <c:v>50</c:v>
                </c:pt>
                <c:pt idx="24">
                  <c:v>44.7</c:v>
                </c:pt>
                <c:pt idx="25">
                  <c:v>39.9</c:v>
                </c:pt>
                <c:pt idx="26">
                  <c:v>39.200000000000003</c:v>
                </c:pt>
                <c:pt idx="27">
                  <c:v>34.200000000000003</c:v>
                </c:pt>
                <c:pt idx="28">
                  <c:v>34.700000000000003</c:v>
                </c:pt>
                <c:pt idx="29">
                  <c:v>33.1</c:v>
                </c:pt>
                <c:pt idx="30">
                  <c:v>33.6</c:v>
                </c:pt>
                <c:pt idx="31">
                  <c:v>32.700000000000003</c:v>
                </c:pt>
                <c:pt idx="32">
                  <c:v>36.799999999999997</c:v>
                </c:pt>
                <c:pt idx="33">
                  <c:v>33.5</c:v>
                </c:pt>
                <c:pt idx="34">
                  <c:v>30.3</c:v>
                </c:pt>
                <c:pt idx="35">
                  <c:v>28.8</c:v>
                </c:pt>
                <c:pt idx="36">
                  <c:v>32.6</c:v>
                </c:pt>
                <c:pt idx="37">
                  <c:v>40.5</c:v>
                </c:pt>
                <c:pt idx="38">
                  <c:v>61.4</c:v>
                </c:pt>
                <c:pt idx="39">
                  <c:v>71.5</c:v>
                </c:pt>
                <c:pt idx="40">
                  <c:v>77.8</c:v>
                </c:pt>
                <c:pt idx="41">
                  <c:v>75.3</c:v>
                </c:pt>
                <c:pt idx="42">
                  <c:v>69.5</c:v>
                </c:pt>
                <c:pt idx="43">
                  <c:v>59.9</c:v>
                </c:pt>
                <c:pt idx="44">
                  <c:v>54.2</c:v>
                </c:pt>
                <c:pt idx="45">
                  <c:v>58</c:v>
                </c:pt>
                <c:pt idx="46">
                  <c:v>56.8</c:v>
                </c:pt>
                <c:pt idx="47">
                  <c:v>51.8</c:v>
                </c:pt>
                <c:pt idx="48">
                  <c:v>59.7</c:v>
                </c:pt>
                <c:pt idx="49">
                  <c:v>63.3</c:v>
                </c:pt>
                <c:pt idx="50">
                  <c:v>51.4</c:v>
                </c:pt>
                <c:pt idx="51">
                  <c:v>46.4</c:v>
                </c:pt>
                <c:pt idx="52">
                  <c:v>51.2</c:v>
                </c:pt>
                <c:pt idx="53">
                  <c:v>55.2</c:v>
                </c:pt>
                <c:pt idx="54">
                  <c:v>54.8</c:v>
                </c:pt>
                <c:pt idx="55">
                  <c:v>46.5</c:v>
                </c:pt>
                <c:pt idx="56">
                  <c:v>48.9</c:v>
                </c:pt>
                <c:pt idx="57">
                  <c:v>55.2</c:v>
                </c:pt>
                <c:pt idx="58">
                  <c:v>49.5</c:v>
                </c:pt>
                <c:pt idx="59">
                  <c:v>35.5</c:v>
                </c:pt>
                <c:pt idx="60">
                  <c:v>37.1</c:v>
                </c:pt>
              </c:numCache>
            </c:numRef>
          </c:val>
        </c:ser>
        <c:ser>
          <c:idx val="4"/>
          <c:order val="3"/>
          <c:tx>
            <c:strRef>
              <c:f>'Nezamestnaní podľa dĺžky'!$A$6</c:f>
              <c:strCache>
                <c:ptCount val="1"/>
                <c:pt idx="0">
                  <c:v>viac ako 3 mesiace až 6 mesiacov</c:v>
                </c:pt>
              </c:strCache>
            </c:strRef>
          </c:tx>
          <c:invertIfNegative val="0"/>
          <c:cat>
            <c:strRef>
              <c:f>'Nezamestnaní podľa dĺžky'!$Z$1:$CH$1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'Nezamestnaní podľa dĺžky'!$Z$6:$CH$6</c:f>
              <c:numCache>
                <c:formatCode>General</c:formatCode>
                <c:ptCount val="61"/>
                <c:pt idx="0">
                  <c:v>72.5</c:v>
                </c:pt>
                <c:pt idx="1">
                  <c:v>63.3</c:v>
                </c:pt>
                <c:pt idx="2">
                  <c:v>53.1</c:v>
                </c:pt>
                <c:pt idx="3">
                  <c:v>62.8</c:v>
                </c:pt>
                <c:pt idx="4">
                  <c:v>53.1</c:v>
                </c:pt>
                <c:pt idx="5">
                  <c:v>69.599999999999994</c:v>
                </c:pt>
                <c:pt idx="6">
                  <c:v>48.5</c:v>
                </c:pt>
                <c:pt idx="7">
                  <c:v>51</c:v>
                </c:pt>
                <c:pt idx="8">
                  <c:v>47.5</c:v>
                </c:pt>
                <c:pt idx="9">
                  <c:v>54.6</c:v>
                </c:pt>
                <c:pt idx="10">
                  <c:v>29</c:v>
                </c:pt>
                <c:pt idx="11">
                  <c:v>47.5</c:v>
                </c:pt>
                <c:pt idx="12">
                  <c:v>42.5</c:v>
                </c:pt>
                <c:pt idx="13">
                  <c:v>48.6</c:v>
                </c:pt>
                <c:pt idx="14">
                  <c:v>32.700000000000003</c:v>
                </c:pt>
                <c:pt idx="15">
                  <c:v>44.1</c:v>
                </c:pt>
                <c:pt idx="16">
                  <c:v>45.7</c:v>
                </c:pt>
                <c:pt idx="17">
                  <c:v>62.1</c:v>
                </c:pt>
                <c:pt idx="18">
                  <c:v>37.799999999999997</c:v>
                </c:pt>
                <c:pt idx="19">
                  <c:v>36.799999999999997</c:v>
                </c:pt>
                <c:pt idx="20">
                  <c:v>37.9</c:v>
                </c:pt>
                <c:pt idx="21">
                  <c:v>36.4</c:v>
                </c:pt>
                <c:pt idx="22">
                  <c:v>28.2</c:v>
                </c:pt>
                <c:pt idx="23">
                  <c:v>29.2</c:v>
                </c:pt>
                <c:pt idx="24">
                  <c:v>25.7</c:v>
                </c:pt>
                <c:pt idx="25">
                  <c:v>25.2</c:v>
                </c:pt>
                <c:pt idx="26">
                  <c:v>15.7</c:v>
                </c:pt>
                <c:pt idx="27">
                  <c:v>22.6</c:v>
                </c:pt>
                <c:pt idx="28">
                  <c:v>18</c:v>
                </c:pt>
                <c:pt idx="29">
                  <c:v>19.899999999999999</c:v>
                </c:pt>
                <c:pt idx="30">
                  <c:v>18</c:v>
                </c:pt>
                <c:pt idx="31">
                  <c:v>22.1</c:v>
                </c:pt>
                <c:pt idx="32">
                  <c:v>20.3</c:v>
                </c:pt>
                <c:pt idx="33">
                  <c:v>19.899999999999999</c:v>
                </c:pt>
                <c:pt idx="34">
                  <c:v>18.399999999999999</c:v>
                </c:pt>
                <c:pt idx="35">
                  <c:v>22.9</c:v>
                </c:pt>
                <c:pt idx="36">
                  <c:v>23.4</c:v>
                </c:pt>
                <c:pt idx="37">
                  <c:v>41.8</c:v>
                </c:pt>
                <c:pt idx="38">
                  <c:v>39.5</c:v>
                </c:pt>
                <c:pt idx="39">
                  <c:v>46.8</c:v>
                </c:pt>
                <c:pt idx="40">
                  <c:v>46.5</c:v>
                </c:pt>
                <c:pt idx="41">
                  <c:v>41.3</c:v>
                </c:pt>
                <c:pt idx="42">
                  <c:v>26.8</c:v>
                </c:pt>
                <c:pt idx="43">
                  <c:v>33</c:v>
                </c:pt>
                <c:pt idx="44">
                  <c:v>31.5</c:v>
                </c:pt>
                <c:pt idx="45">
                  <c:v>30.3</c:v>
                </c:pt>
                <c:pt idx="46">
                  <c:v>25.1</c:v>
                </c:pt>
                <c:pt idx="47">
                  <c:v>38.700000000000003</c:v>
                </c:pt>
                <c:pt idx="48">
                  <c:v>37.299999999999997</c:v>
                </c:pt>
                <c:pt idx="49">
                  <c:v>31</c:v>
                </c:pt>
                <c:pt idx="50">
                  <c:v>21.6</c:v>
                </c:pt>
                <c:pt idx="51">
                  <c:v>37.1</c:v>
                </c:pt>
                <c:pt idx="52">
                  <c:v>35.200000000000003</c:v>
                </c:pt>
                <c:pt idx="53">
                  <c:v>29.7</c:v>
                </c:pt>
                <c:pt idx="54">
                  <c:v>22.2</c:v>
                </c:pt>
                <c:pt idx="55">
                  <c:v>35.200000000000003</c:v>
                </c:pt>
                <c:pt idx="56">
                  <c:v>33.299999999999997</c:v>
                </c:pt>
                <c:pt idx="57">
                  <c:v>28.5</c:v>
                </c:pt>
                <c:pt idx="58">
                  <c:v>20.399999999999999</c:v>
                </c:pt>
                <c:pt idx="59">
                  <c:v>24.6</c:v>
                </c:pt>
                <c:pt idx="60">
                  <c:v>30.6</c:v>
                </c:pt>
              </c:numCache>
            </c:numRef>
          </c:val>
        </c:ser>
        <c:ser>
          <c:idx val="3"/>
          <c:order val="4"/>
          <c:tx>
            <c:strRef>
              <c:f>'Nezamestnaní podľa dĺžky'!$A$5</c:f>
              <c:strCache>
                <c:ptCount val="1"/>
                <c:pt idx="0">
                  <c:v>viac ako 1 mesiac až 3 mesiace</c:v>
                </c:pt>
              </c:strCache>
            </c:strRef>
          </c:tx>
          <c:invertIfNegative val="0"/>
          <c:cat>
            <c:strRef>
              <c:f>'Nezamestnaní podľa dĺžky'!$Z$1:$CH$1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'Nezamestnaní podľa dĺžky'!$Z$5:$CH$5</c:f>
              <c:numCache>
                <c:formatCode>General</c:formatCode>
                <c:ptCount val="61"/>
                <c:pt idx="0">
                  <c:v>53.5</c:v>
                </c:pt>
                <c:pt idx="1">
                  <c:v>33.4</c:v>
                </c:pt>
                <c:pt idx="2">
                  <c:v>46.7</c:v>
                </c:pt>
                <c:pt idx="3">
                  <c:v>33.5</c:v>
                </c:pt>
                <c:pt idx="4">
                  <c:v>56.4</c:v>
                </c:pt>
                <c:pt idx="5">
                  <c:v>35.299999999999997</c:v>
                </c:pt>
                <c:pt idx="6">
                  <c:v>37.6</c:v>
                </c:pt>
                <c:pt idx="7">
                  <c:v>32.6</c:v>
                </c:pt>
                <c:pt idx="8">
                  <c:v>39.799999999999997</c:v>
                </c:pt>
                <c:pt idx="9">
                  <c:v>23.1</c:v>
                </c:pt>
                <c:pt idx="10">
                  <c:v>34.1</c:v>
                </c:pt>
                <c:pt idx="11">
                  <c:v>32.1</c:v>
                </c:pt>
                <c:pt idx="12">
                  <c:v>42.4</c:v>
                </c:pt>
                <c:pt idx="13">
                  <c:v>25.6</c:v>
                </c:pt>
                <c:pt idx="14">
                  <c:v>38</c:v>
                </c:pt>
                <c:pt idx="15">
                  <c:v>33.4</c:v>
                </c:pt>
                <c:pt idx="16">
                  <c:v>49.8</c:v>
                </c:pt>
                <c:pt idx="17">
                  <c:v>30.1</c:v>
                </c:pt>
                <c:pt idx="18">
                  <c:v>33.4</c:v>
                </c:pt>
                <c:pt idx="19">
                  <c:v>29.9</c:v>
                </c:pt>
                <c:pt idx="20">
                  <c:v>25.5</c:v>
                </c:pt>
                <c:pt idx="21">
                  <c:v>21.1</c:v>
                </c:pt>
                <c:pt idx="22">
                  <c:v>22.6</c:v>
                </c:pt>
                <c:pt idx="23">
                  <c:v>22.4</c:v>
                </c:pt>
                <c:pt idx="24">
                  <c:v>23.1</c:v>
                </c:pt>
                <c:pt idx="25">
                  <c:v>12.9</c:v>
                </c:pt>
                <c:pt idx="26">
                  <c:v>22.1</c:v>
                </c:pt>
                <c:pt idx="27">
                  <c:v>15.4</c:v>
                </c:pt>
                <c:pt idx="28">
                  <c:v>13.1</c:v>
                </c:pt>
                <c:pt idx="29">
                  <c:v>13.2</c:v>
                </c:pt>
                <c:pt idx="30">
                  <c:v>22.1</c:v>
                </c:pt>
                <c:pt idx="31">
                  <c:v>14.7</c:v>
                </c:pt>
                <c:pt idx="32">
                  <c:v>10.5</c:v>
                </c:pt>
                <c:pt idx="33">
                  <c:v>14.4</c:v>
                </c:pt>
                <c:pt idx="34">
                  <c:v>18.7</c:v>
                </c:pt>
                <c:pt idx="35">
                  <c:v>18.100000000000001</c:v>
                </c:pt>
                <c:pt idx="36">
                  <c:v>25.4</c:v>
                </c:pt>
                <c:pt idx="37">
                  <c:v>30.1</c:v>
                </c:pt>
                <c:pt idx="38">
                  <c:v>37.4</c:v>
                </c:pt>
                <c:pt idx="39">
                  <c:v>39</c:v>
                </c:pt>
                <c:pt idx="40">
                  <c:v>33.5</c:v>
                </c:pt>
                <c:pt idx="41">
                  <c:v>20.3</c:v>
                </c:pt>
                <c:pt idx="42">
                  <c:v>24.3</c:v>
                </c:pt>
                <c:pt idx="43">
                  <c:v>21.6</c:v>
                </c:pt>
                <c:pt idx="44">
                  <c:v>23.7</c:v>
                </c:pt>
                <c:pt idx="45">
                  <c:v>18</c:v>
                </c:pt>
                <c:pt idx="46">
                  <c:v>24.2</c:v>
                </c:pt>
                <c:pt idx="47">
                  <c:v>27</c:v>
                </c:pt>
                <c:pt idx="48">
                  <c:v>22.6</c:v>
                </c:pt>
                <c:pt idx="49">
                  <c:v>16</c:v>
                </c:pt>
                <c:pt idx="50">
                  <c:v>29.9</c:v>
                </c:pt>
                <c:pt idx="51">
                  <c:v>30.6</c:v>
                </c:pt>
                <c:pt idx="52">
                  <c:v>23.4</c:v>
                </c:pt>
                <c:pt idx="53">
                  <c:v>17.899999999999999</c:v>
                </c:pt>
                <c:pt idx="54">
                  <c:v>24.3</c:v>
                </c:pt>
                <c:pt idx="55">
                  <c:v>24.7</c:v>
                </c:pt>
                <c:pt idx="56">
                  <c:v>19.600000000000001</c:v>
                </c:pt>
                <c:pt idx="57">
                  <c:v>17.2</c:v>
                </c:pt>
                <c:pt idx="58">
                  <c:v>20.9</c:v>
                </c:pt>
                <c:pt idx="59">
                  <c:v>30.9</c:v>
                </c:pt>
                <c:pt idx="60">
                  <c:v>26.1</c:v>
                </c:pt>
              </c:numCache>
            </c:numRef>
          </c:val>
        </c:ser>
        <c:ser>
          <c:idx val="2"/>
          <c:order val="5"/>
          <c:tx>
            <c:strRef>
              <c:f>'Nezamestnaní podľa dĺžky'!$A$4</c:f>
              <c:strCache>
                <c:ptCount val="1"/>
                <c:pt idx="0">
                  <c:v>do 1 mesiaca (vrátane)</c:v>
                </c:pt>
              </c:strCache>
            </c:strRef>
          </c:tx>
          <c:invertIfNegative val="0"/>
          <c:cat>
            <c:strRef>
              <c:f>'Nezamestnaní podľa dĺžky'!$Z$1:$CH$1</c:f>
              <c:strCache>
                <c:ptCount val="61"/>
                <c:pt idx="0">
                  <c:v>2000Q1</c:v>
                </c:pt>
                <c:pt idx="1">
                  <c:v>2000Q2</c:v>
                </c:pt>
                <c:pt idx="2">
                  <c:v>2000Q3</c:v>
                </c:pt>
                <c:pt idx="3">
                  <c:v>2000Q4</c:v>
                </c:pt>
                <c:pt idx="4">
                  <c:v>2001Q1</c:v>
                </c:pt>
                <c:pt idx="5">
                  <c:v>2001Q2</c:v>
                </c:pt>
                <c:pt idx="6">
                  <c:v>2001Q3</c:v>
                </c:pt>
                <c:pt idx="7">
                  <c:v>2001Q4</c:v>
                </c:pt>
                <c:pt idx="8">
                  <c:v>2002Q1</c:v>
                </c:pt>
                <c:pt idx="9">
                  <c:v>2002Q2</c:v>
                </c:pt>
                <c:pt idx="10">
                  <c:v>2002Q3</c:v>
                </c:pt>
                <c:pt idx="11">
                  <c:v>2002Q4</c:v>
                </c:pt>
                <c:pt idx="12">
                  <c:v>2003Q1</c:v>
                </c:pt>
                <c:pt idx="13">
                  <c:v>2003Q2</c:v>
                </c:pt>
                <c:pt idx="14">
                  <c:v>2003Q3</c:v>
                </c:pt>
                <c:pt idx="15">
                  <c:v>2003Q4</c:v>
                </c:pt>
                <c:pt idx="16">
                  <c:v>2004Q1</c:v>
                </c:pt>
                <c:pt idx="17">
                  <c:v>2004Q2</c:v>
                </c:pt>
                <c:pt idx="18">
                  <c:v>2004Q3</c:v>
                </c:pt>
                <c:pt idx="19">
                  <c:v>2004Q4</c:v>
                </c:pt>
                <c:pt idx="20">
                  <c:v>2005Q1</c:v>
                </c:pt>
                <c:pt idx="21">
                  <c:v>2005Q2</c:v>
                </c:pt>
                <c:pt idx="22">
                  <c:v>2005Q3</c:v>
                </c:pt>
                <c:pt idx="23">
                  <c:v>2005Q4</c:v>
                </c:pt>
                <c:pt idx="24">
                  <c:v>2006Q1</c:v>
                </c:pt>
                <c:pt idx="25">
                  <c:v>2006Q2</c:v>
                </c:pt>
                <c:pt idx="26">
                  <c:v>2006Q3</c:v>
                </c:pt>
                <c:pt idx="27">
                  <c:v>2006Q4</c:v>
                </c:pt>
                <c:pt idx="28">
                  <c:v>2007Q1</c:v>
                </c:pt>
                <c:pt idx="29">
                  <c:v>2007Q2</c:v>
                </c:pt>
                <c:pt idx="30">
                  <c:v>2007Q3</c:v>
                </c:pt>
                <c:pt idx="31">
                  <c:v>2007Q4</c:v>
                </c:pt>
                <c:pt idx="32">
                  <c:v>2008Q1</c:v>
                </c:pt>
                <c:pt idx="33">
                  <c:v>2008Q2</c:v>
                </c:pt>
                <c:pt idx="34">
                  <c:v>2008Q3</c:v>
                </c:pt>
                <c:pt idx="35">
                  <c:v>2008Q4</c:v>
                </c:pt>
                <c:pt idx="36">
                  <c:v>2009Q1</c:v>
                </c:pt>
                <c:pt idx="37">
                  <c:v>2009Q2</c:v>
                </c:pt>
                <c:pt idx="38">
                  <c:v>2009Q3</c:v>
                </c:pt>
                <c:pt idx="39">
                  <c:v>2009Q4</c:v>
                </c:pt>
                <c:pt idx="40">
                  <c:v>2010Q1</c:v>
                </c:pt>
                <c:pt idx="41">
                  <c:v>2010Q2</c:v>
                </c:pt>
                <c:pt idx="42">
                  <c:v>2010Q3</c:v>
                </c:pt>
                <c:pt idx="43">
                  <c:v>2010Q4</c:v>
                </c:pt>
                <c:pt idx="44">
                  <c:v>2011Q1</c:v>
                </c:pt>
                <c:pt idx="45">
                  <c:v>2011Q2</c:v>
                </c:pt>
                <c:pt idx="46">
                  <c:v>2011Q3</c:v>
                </c:pt>
                <c:pt idx="47">
                  <c:v>2011Q4</c:v>
                </c:pt>
                <c:pt idx="48">
                  <c:v>2012Q1</c:v>
                </c:pt>
                <c:pt idx="49">
                  <c:v>2012Q2</c:v>
                </c:pt>
                <c:pt idx="50">
                  <c:v>2012Q3</c:v>
                </c:pt>
                <c:pt idx="51">
                  <c:v>2012Q4</c:v>
                </c:pt>
                <c:pt idx="52">
                  <c:v>2013Q1</c:v>
                </c:pt>
                <c:pt idx="53">
                  <c:v>2013Q2</c:v>
                </c:pt>
                <c:pt idx="54">
                  <c:v>2013Q3</c:v>
                </c:pt>
                <c:pt idx="55">
                  <c:v>2013Q4</c:v>
                </c:pt>
                <c:pt idx="56">
                  <c:v>2014Q1</c:v>
                </c:pt>
                <c:pt idx="57">
                  <c:v>2014Q2</c:v>
                </c:pt>
                <c:pt idx="58">
                  <c:v>2014Q3</c:v>
                </c:pt>
                <c:pt idx="59">
                  <c:v>2014Q4</c:v>
                </c:pt>
                <c:pt idx="60">
                  <c:v>2015Q1</c:v>
                </c:pt>
              </c:strCache>
            </c:strRef>
          </c:cat>
          <c:val>
            <c:numRef>
              <c:f>'Nezamestnaní podľa dĺžky'!$Z$4:$CH$4</c:f>
              <c:numCache>
                <c:formatCode>General</c:formatCode>
                <c:ptCount val="61"/>
                <c:pt idx="0">
                  <c:v>13.4</c:v>
                </c:pt>
                <c:pt idx="1">
                  <c:v>22</c:v>
                </c:pt>
                <c:pt idx="2">
                  <c:v>17.399999999999999</c:v>
                </c:pt>
                <c:pt idx="3">
                  <c:v>16.600000000000001</c:v>
                </c:pt>
                <c:pt idx="4">
                  <c:v>33.200000000000003</c:v>
                </c:pt>
                <c:pt idx="5">
                  <c:v>21</c:v>
                </c:pt>
                <c:pt idx="6">
                  <c:v>22.8</c:v>
                </c:pt>
                <c:pt idx="7">
                  <c:v>21.6</c:v>
                </c:pt>
                <c:pt idx="8">
                  <c:v>34.5</c:v>
                </c:pt>
                <c:pt idx="9">
                  <c:v>24.7</c:v>
                </c:pt>
                <c:pt idx="10">
                  <c:v>32</c:v>
                </c:pt>
                <c:pt idx="11">
                  <c:v>34.799999999999997</c:v>
                </c:pt>
                <c:pt idx="12">
                  <c:v>34.1</c:v>
                </c:pt>
                <c:pt idx="13">
                  <c:v>22.9</c:v>
                </c:pt>
                <c:pt idx="14">
                  <c:v>30.8</c:v>
                </c:pt>
                <c:pt idx="15">
                  <c:v>37.5</c:v>
                </c:pt>
                <c:pt idx="16">
                  <c:v>44</c:v>
                </c:pt>
                <c:pt idx="17">
                  <c:v>24.1</c:v>
                </c:pt>
                <c:pt idx="18">
                  <c:v>26.3</c:v>
                </c:pt>
                <c:pt idx="19">
                  <c:v>22</c:v>
                </c:pt>
                <c:pt idx="20">
                  <c:v>32.5</c:v>
                </c:pt>
                <c:pt idx="21">
                  <c:v>19.8</c:v>
                </c:pt>
                <c:pt idx="22">
                  <c:v>21.4</c:v>
                </c:pt>
                <c:pt idx="23">
                  <c:v>20.399999999999999</c:v>
                </c:pt>
                <c:pt idx="24">
                  <c:v>17.100000000000001</c:v>
                </c:pt>
                <c:pt idx="25">
                  <c:v>13.1</c:v>
                </c:pt>
                <c:pt idx="26">
                  <c:v>17.3</c:v>
                </c:pt>
                <c:pt idx="27">
                  <c:v>11.5</c:v>
                </c:pt>
                <c:pt idx="28">
                  <c:v>17.7</c:v>
                </c:pt>
                <c:pt idx="29">
                  <c:v>17.7</c:v>
                </c:pt>
                <c:pt idx="30">
                  <c:v>19.899999999999999</c:v>
                </c:pt>
                <c:pt idx="31">
                  <c:v>9.8000000000000007</c:v>
                </c:pt>
                <c:pt idx="32">
                  <c:v>16.3</c:v>
                </c:pt>
                <c:pt idx="33">
                  <c:v>16.399999999999999</c:v>
                </c:pt>
                <c:pt idx="34">
                  <c:v>25.4</c:v>
                </c:pt>
                <c:pt idx="35">
                  <c:v>19.5</c:v>
                </c:pt>
                <c:pt idx="36">
                  <c:v>43</c:v>
                </c:pt>
                <c:pt idx="37">
                  <c:v>38.4</c:v>
                </c:pt>
                <c:pt idx="38">
                  <c:v>35.1</c:v>
                </c:pt>
                <c:pt idx="39">
                  <c:v>30.5</c:v>
                </c:pt>
                <c:pt idx="40">
                  <c:v>31.6</c:v>
                </c:pt>
                <c:pt idx="41">
                  <c:v>24.5</c:v>
                </c:pt>
                <c:pt idx="42">
                  <c:v>25.9</c:v>
                </c:pt>
                <c:pt idx="43">
                  <c:v>21.4</c:v>
                </c:pt>
                <c:pt idx="44">
                  <c:v>20.399999999999999</c:v>
                </c:pt>
                <c:pt idx="45">
                  <c:v>17.399999999999999</c:v>
                </c:pt>
                <c:pt idx="46">
                  <c:v>27.7</c:v>
                </c:pt>
                <c:pt idx="47">
                  <c:v>20.100000000000001</c:v>
                </c:pt>
                <c:pt idx="48">
                  <c:v>19.8</c:v>
                </c:pt>
                <c:pt idx="49">
                  <c:v>26.4</c:v>
                </c:pt>
                <c:pt idx="50">
                  <c:v>31.5</c:v>
                </c:pt>
                <c:pt idx="51">
                  <c:v>22.8</c:v>
                </c:pt>
                <c:pt idx="52">
                  <c:v>30.4</c:v>
                </c:pt>
                <c:pt idx="53">
                  <c:v>22.4</c:v>
                </c:pt>
                <c:pt idx="54">
                  <c:v>27.3</c:v>
                </c:pt>
                <c:pt idx="55">
                  <c:v>15.6</c:v>
                </c:pt>
                <c:pt idx="56">
                  <c:v>17.5</c:v>
                </c:pt>
                <c:pt idx="57">
                  <c:v>13.7</c:v>
                </c:pt>
                <c:pt idx="58">
                  <c:v>29.4</c:v>
                </c:pt>
                <c:pt idx="59">
                  <c:v>31.5</c:v>
                </c:pt>
                <c:pt idx="60">
                  <c:v>39.5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68641664"/>
        <c:axId val="168643200"/>
      </c:barChart>
      <c:catAx>
        <c:axId val="168641664"/>
        <c:scaling>
          <c:orientation val="minMax"/>
        </c:scaling>
        <c:delete val="0"/>
        <c:axPos val="b"/>
        <c:majorTickMark val="out"/>
        <c:minorTickMark val="none"/>
        <c:tickLblPos val="nextTo"/>
        <c:crossAx val="168643200"/>
        <c:crosses val="autoZero"/>
        <c:auto val="1"/>
        <c:lblAlgn val="ctr"/>
        <c:lblOffset val="100"/>
        <c:noMultiLvlLbl val="0"/>
      </c:catAx>
      <c:valAx>
        <c:axId val="16864320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68641664"/>
        <c:crossesAt val="1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Hárok3!$A$2</c:f>
              <c:strCache>
                <c:ptCount val="1"/>
                <c:pt idx="0">
                  <c:v>Voľné pracovné miesta - priemer</c:v>
                </c:pt>
              </c:strCache>
            </c:strRef>
          </c:tx>
          <c:invertIfNegative val="0"/>
          <c:cat>
            <c:strRef>
              <c:f>Hárok3!$B$1:$AD$1</c:f>
              <c:strCache>
                <c:ptCount val="29"/>
                <c:pt idx="0">
                  <c:v>2008Q1</c:v>
                </c:pt>
                <c:pt idx="1">
                  <c:v>2008Q2</c:v>
                </c:pt>
                <c:pt idx="2">
                  <c:v>2008Q3</c:v>
                </c:pt>
                <c:pt idx="3">
                  <c:v>2008Q4</c:v>
                </c:pt>
                <c:pt idx="4">
                  <c:v>2009Q1</c:v>
                </c:pt>
                <c:pt idx="5">
                  <c:v>2009Q2</c:v>
                </c:pt>
                <c:pt idx="6">
                  <c:v>2009Q3</c:v>
                </c:pt>
                <c:pt idx="7">
                  <c:v>2009Q4</c:v>
                </c:pt>
                <c:pt idx="8">
                  <c:v>2010Q1</c:v>
                </c:pt>
                <c:pt idx="9">
                  <c:v>2010Q2</c:v>
                </c:pt>
                <c:pt idx="10">
                  <c:v>2010Q3</c:v>
                </c:pt>
                <c:pt idx="11">
                  <c:v>2010Q4</c:v>
                </c:pt>
                <c:pt idx="12">
                  <c:v>2011Q1</c:v>
                </c:pt>
                <c:pt idx="13">
                  <c:v>2011Q2</c:v>
                </c:pt>
                <c:pt idx="14">
                  <c:v>2011Q3</c:v>
                </c:pt>
                <c:pt idx="15">
                  <c:v>2011Q4</c:v>
                </c:pt>
                <c:pt idx="16">
                  <c:v>2012Q1</c:v>
                </c:pt>
                <c:pt idx="17">
                  <c:v>2012Q2</c:v>
                </c:pt>
                <c:pt idx="18">
                  <c:v>2012Q3</c:v>
                </c:pt>
                <c:pt idx="19">
                  <c:v>2012Q4</c:v>
                </c:pt>
                <c:pt idx="20">
                  <c:v>2013Q1</c:v>
                </c:pt>
                <c:pt idx="21">
                  <c:v>2013Q2</c:v>
                </c:pt>
                <c:pt idx="22">
                  <c:v>2013Q3</c:v>
                </c:pt>
                <c:pt idx="23">
                  <c:v>2013Q4</c:v>
                </c:pt>
                <c:pt idx="24">
                  <c:v>2014Q1</c:v>
                </c:pt>
                <c:pt idx="25">
                  <c:v>2014Q2</c:v>
                </c:pt>
                <c:pt idx="26">
                  <c:v>2014Q3</c:v>
                </c:pt>
                <c:pt idx="27">
                  <c:v>2014Q4</c:v>
                </c:pt>
                <c:pt idx="28">
                  <c:v>2015Q1</c:v>
                </c:pt>
              </c:strCache>
            </c:strRef>
          </c:cat>
          <c:val>
            <c:numRef>
              <c:f>Hárok3!$B$2:$AD$2</c:f>
              <c:numCache>
                <c:formatCode>General</c:formatCode>
                <c:ptCount val="29"/>
              </c:numCache>
            </c:numRef>
          </c:val>
        </c:ser>
        <c:ser>
          <c:idx val="1"/>
          <c:order val="1"/>
          <c:tx>
            <c:strRef>
              <c:f>Hárok3!$A$3</c:f>
              <c:strCache>
                <c:ptCount val="1"/>
                <c:pt idx="0">
                  <c:v>Hospodárstvo spolu</c:v>
                </c:pt>
              </c:strCache>
            </c:strRef>
          </c:tx>
          <c:invertIfNegative val="0"/>
          <c:cat>
            <c:strRef>
              <c:f>Hárok3!$B$1:$AD$1</c:f>
              <c:strCache>
                <c:ptCount val="29"/>
                <c:pt idx="0">
                  <c:v>2008Q1</c:v>
                </c:pt>
                <c:pt idx="1">
                  <c:v>2008Q2</c:v>
                </c:pt>
                <c:pt idx="2">
                  <c:v>2008Q3</c:v>
                </c:pt>
                <c:pt idx="3">
                  <c:v>2008Q4</c:v>
                </c:pt>
                <c:pt idx="4">
                  <c:v>2009Q1</c:v>
                </c:pt>
                <c:pt idx="5">
                  <c:v>2009Q2</c:v>
                </c:pt>
                <c:pt idx="6">
                  <c:v>2009Q3</c:v>
                </c:pt>
                <c:pt idx="7">
                  <c:v>2009Q4</c:v>
                </c:pt>
                <c:pt idx="8">
                  <c:v>2010Q1</c:v>
                </c:pt>
                <c:pt idx="9">
                  <c:v>2010Q2</c:v>
                </c:pt>
                <c:pt idx="10">
                  <c:v>2010Q3</c:v>
                </c:pt>
                <c:pt idx="11">
                  <c:v>2010Q4</c:v>
                </c:pt>
                <c:pt idx="12">
                  <c:v>2011Q1</c:v>
                </c:pt>
                <c:pt idx="13">
                  <c:v>2011Q2</c:v>
                </c:pt>
                <c:pt idx="14">
                  <c:v>2011Q3</c:v>
                </c:pt>
                <c:pt idx="15">
                  <c:v>2011Q4</c:v>
                </c:pt>
                <c:pt idx="16">
                  <c:v>2012Q1</c:v>
                </c:pt>
                <c:pt idx="17">
                  <c:v>2012Q2</c:v>
                </c:pt>
                <c:pt idx="18">
                  <c:v>2012Q3</c:v>
                </c:pt>
                <c:pt idx="19">
                  <c:v>2012Q4</c:v>
                </c:pt>
                <c:pt idx="20">
                  <c:v>2013Q1</c:v>
                </c:pt>
                <c:pt idx="21">
                  <c:v>2013Q2</c:v>
                </c:pt>
                <c:pt idx="22">
                  <c:v>2013Q3</c:v>
                </c:pt>
                <c:pt idx="23">
                  <c:v>2013Q4</c:v>
                </c:pt>
                <c:pt idx="24">
                  <c:v>2014Q1</c:v>
                </c:pt>
                <c:pt idx="25">
                  <c:v>2014Q2</c:v>
                </c:pt>
                <c:pt idx="26">
                  <c:v>2014Q3</c:v>
                </c:pt>
                <c:pt idx="27">
                  <c:v>2014Q4</c:v>
                </c:pt>
                <c:pt idx="28">
                  <c:v>2015Q1</c:v>
                </c:pt>
              </c:strCache>
            </c:strRef>
          </c:cat>
          <c:val>
            <c:numRef>
              <c:f>Hárok3!$B$3:$AD$3</c:f>
              <c:numCache>
                <c:formatCode>#,##0</c:formatCode>
                <c:ptCount val="29"/>
                <c:pt idx="0">
                  <c:v>28566</c:v>
                </c:pt>
                <c:pt idx="1">
                  <c:v>24167</c:v>
                </c:pt>
                <c:pt idx="2">
                  <c:v>24936</c:v>
                </c:pt>
                <c:pt idx="3">
                  <c:v>21527</c:v>
                </c:pt>
                <c:pt idx="4">
                  <c:v>21058</c:v>
                </c:pt>
                <c:pt idx="5">
                  <c:v>17752</c:v>
                </c:pt>
                <c:pt idx="6">
                  <c:v>16330</c:v>
                </c:pt>
                <c:pt idx="7">
                  <c:v>14100</c:v>
                </c:pt>
                <c:pt idx="8">
                  <c:v>13209</c:v>
                </c:pt>
                <c:pt idx="9">
                  <c:v>12739</c:v>
                </c:pt>
                <c:pt idx="10">
                  <c:v>13854</c:v>
                </c:pt>
                <c:pt idx="11">
                  <c:v>13895</c:v>
                </c:pt>
                <c:pt idx="12">
                  <c:v>14704</c:v>
                </c:pt>
                <c:pt idx="13">
                  <c:v>14339</c:v>
                </c:pt>
                <c:pt idx="14">
                  <c:v>14156</c:v>
                </c:pt>
                <c:pt idx="15">
                  <c:v>13459</c:v>
                </c:pt>
                <c:pt idx="16">
                  <c:v>15030</c:v>
                </c:pt>
                <c:pt idx="17">
                  <c:v>14568</c:v>
                </c:pt>
                <c:pt idx="18">
                  <c:v>13400</c:v>
                </c:pt>
                <c:pt idx="19">
                  <c:v>13289</c:v>
                </c:pt>
                <c:pt idx="20">
                  <c:v>15394</c:v>
                </c:pt>
                <c:pt idx="21">
                  <c:v>15076</c:v>
                </c:pt>
                <c:pt idx="22">
                  <c:v>15514</c:v>
                </c:pt>
                <c:pt idx="23">
                  <c:v>14206</c:v>
                </c:pt>
                <c:pt idx="24">
                  <c:v>16231</c:v>
                </c:pt>
                <c:pt idx="25">
                  <c:v>16891</c:v>
                </c:pt>
                <c:pt idx="26">
                  <c:v>15497</c:v>
                </c:pt>
                <c:pt idx="27" formatCode="General">
                  <c:v>15564</c:v>
                </c:pt>
                <c:pt idx="28" formatCode="General">
                  <c:v>16938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8706048"/>
        <c:axId val="168707584"/>
      </c:barChart>
      <c:catAx>
        <c:axId val="168706048"/>
        <c:scaling>
          <c:orientation val="minMax"/>
        </c:scaling>
        <c:delete val="0"/>
        <c:axPos val="b"/>
        <c:majorTickMark val="out"/>
        <c:minorTickMark val="none"/>
        <c:tickLblPos val="nextTo"/>
        <c:crossAx val="168707584"/>
        <c:crosses val="autoZero"/>
        <c:auto val="1"/>
        <c:lblAlgn val="ctr"/>
        <c:lblOffset val="100"/>
        <c:noMultiLvlLbl val="0"/>
      </c:catAx>
      <c:valAx>
        <c:axId val="16870758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6870604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3D1B6-B507-4616-A110-4B3DA48B3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1816</TotalTime>
  <Pages>20</Pages>
  <Words>2141</Words>
  <Characters>12208</Characters>
  <Application>Microsoft Office Word</Application>
  <DocSecurity>0</DocSecurity>
  <Lines>101</Lines>
  <Paragraphs>28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14321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Rastislav Kováčik</dc:creator>
  <cp:lastModifiedBy>Peter Golias</cp:lastModifiedBy>
  <cp:revision>332</cp:revision>
  <dcterms:created xsi:type="dcterms:W3CDTF">2015-09-02T09:32:00Z</dcterms:created>
  <dcterms:modified xsi:type="dcterms:W3CDTF">2015-09-14T07:02:00Z</dcterms:modified>
</cp:coreProperties>
</file>